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0D" w:rsidRPr="00C724A2" w:rsidRDefault="00E03C0D" w:rsidP="00C724A2">
      <w:pPr>
        <w:rPr>
          <w:rFonts w:cs="Arial"/>
        </w:rPr>
      </w:pPr>
    </w:p>
    <w:p w:rsidR="00E03C0D" w:rsidRPr="00C724A2" w:rsidRDefault="00E03C0D" w:rsidP="00C724A2">
      <w:pPr>
        <w:rPr>
          <w:rFonts w:cs="Arial"/>
        </w:rPr>
        <w:sectPr w:rsidR="00E03C0D" w:rsidRPr="00C724A2" w:rsidSect="00E03C0D">
          <w:headerReference w:type="default" r:id="rId8"/>
          <w:footerReference w:type="default" r:id="rId9"/>
          <w:pgSz w:w="11906" w:h="16838"/>
          <w:pgMar w:top="1977" w:right="746" w:bottom="1134" w:left="1260" w:header="708" w:footer="481" w:gutter="0"/>
          <w:cols w:space="708"/>
          <w:docGrid w:linePitch="360"/>
        </w:sectPr>
      </w:pPr>
    </w:p>
    <w:p w:rsidR="00E03C0D" w:rsidRPr="00C724A2" w:rsidRDefault="0014109D" w:rsidP="00C724A2">
      <w:pPr>
        <w:pStyle w:val="berschrift1"/>
        <w:spacing w:before="0" w:after="0"/>
      </w:pPr>
      <w:r>
        <w:rPr>
          <w:lang w:val="en-GB"/>
        </w:rPr>
        <w:t>Reportaje para usuarios</w:t>
      </w:r>
    </w:p>
    <w:p w:rsidR="00E03C0D" w:rsidRPr="00C724A2" w:rsidRDefault="00E03C0D" w:rsidP="00C724A2">
      <w:pPr>
        <w:rPr>
          <w:rFonts w:cs="Arial"/>
          <w:szCs w:val="20"/>
        </w:rPr>
      </w:pPr>
    </w:p>
    <w:p w:rsidR="00C724A2" w:rsidRDefault="00C724A2" w:rsidP="00C724A2">
      <w:pPr>
        <w:pStyle w:val="Titel"/>
        <w:pBdr>
          <w:bottom w:val="none" w:sz="0" w:space="0" w:color="auto"/>
        </w:pBdr>
        <w:spacing w:after="0"/>
        <w:rPr>
          <w:rFonts w:ascii="Arial" w:hAnsi="Arial" w:cs="Arial"/>
          <w:b/>
          <w:color w:val="000000"/>
          <w:sz w:val="28"/>
        </w:rPr>
      </w:pPr>
    </w:p>
    <w:p w:rsidR="0014109D" w:rsidRPr="0014109D" w:rsidRDefault="0014109D" w:rsidP="0014109D">
      <w:pPr>
        <w:pStyle w:val="Titel"/>
        <w:pBdr>
          <w:bottom w:val="none" w:sz="0" w:space="0" w:color="auto"/>
        </w:pBdr>
        <w:spacing w:after="0"/>
        <w:rPr>
          <w:rFonts w:ascii="Arial" w:hAnsi="Arial" w:cs="Arial"/>
          <w:b/>
          <w:color w:val="000000"/>
          <w:sz w:val="28"/>
        </w:rPr>
      </w:pPr>
      <w:r w:rsidRPr="0014109D">
        <w:rPr>
          <w:rFonts w:ascii="Arial" w:hAnsi="Arial" w:cs="Arial"/>
          <w:b/>
          <w:color w:val="000000"/>
          <w:sz w:val="28"/>
        </w:rPr>
        <w:t>Mayor eficiencia en la construcción de centrales eléctricas</w:t>
      </w:r>
      <w:r>
        <w:rPr>
          <w:rFonts w:ascii="Arial" w:hAnsi="Arial" w:cs="Arial"/>
          <w:b/>
          <w:color w:val="000000"/>
          <w:sz w:val="28"/>
        </w:rPr>
        <w:t>:</w:t>
      </w:r>
    </w:p>
    <w:p w:rsidR="0014109D" w:rsidRPr="0014109D" w:rsidRDefault="0014109D" w:rsidP="0014109D">
      <w:pPr>
        <w:rPr>
          <w:rFonts w:cs="Arial"/>
          <w:b/>
          <w:szCs w:val="20"/>
        </w:rPr>
      </w:pPr>
      <w:r w:rsidRPr="0014109D">
        <w:rPr>
          <w:rFonts w:cs="Arial"/>
          <w:b/>
          <w:szCs w:val="20"/>
        </w:rPr>
        <w:t>Soldadura en el in</w:t>
      </w:r>
      <w:r w:rsidRPr="0014109D">
        <w:rPr>
          <w:rFonts w:cs="Arial"/>
          <w:b/>
          <w:szCs w:val="20"/>
        </w:rPr>
        <w:t>terior de componentes de acero</w:t>
      </w:r>
    </w:p>
    <w:p w:rsidR="0014109D" w:rsidRDefault="0014109D" w:rsidP="0014109D">
      <w:pPr>
        <w:rPr>
          <w:rFonts w:cs="Arial"/>
          <w:szCs w:val="20"/>
        </w:rPr>
      </w:pPr>
    </w:p>
    <w:p w:rsidR="0014109D" w:rsidRPr="0014109D" w:rsidRDefault="0014109D" w:rsidP="0014109D">
      <w:pPr>
        <w:rPr>
          <w:rFonts w:cs="Arial"/>
          <w:szCs w:val="20"/>
        </w:rPr>
      </w:pPr>
    </w:p>
    <w:p w:rsidR="0014109D" w:rsidRPr="0014109D" w:rsidRDefault="0014109D" w:rsidP="0014109D">
      <w:pPr>
        <w:rPr>
          <w:rFonts w:cs="Arial"/>
          <w:b/>
          <w:szCs w:val="20"/>
        </w:rPr>
      </w:pPr>
      <w:r w:rsidRPr="0014109D">
        <w:rPr>
          <w:rFonts w:cs="Arial"/>
          <w:b/>
          <w:szCs w:val="20"/>
        </w:rPr>
        <w:t xml:space="preserve">Las limitadas condiciones de espacio y las altas exigencias de calidad requieren soluciones inteligentes para que los soldadores puedan trabajar de forma eficiente, ergonómica y segura. ¿En qué consisten esas soluciones? </w:t>
      </w:r>
      <w:proofErr w:type="spellStart"/>
      <w:r w:rsidRPr="0014109D">
        <w:rPr>
          <w:rFonts w:cs="Arial"/>
          <w:b/>
          <w:szCs w:val="20"/>
        </w:rPr>
        <w:t>Fronius</w:t>
      </w:r>
      <w:proofErr w:type="spellEnd"/>
      <w:r w:rsidRPr="0014109D">
        <w:rPr>
          <w:rFonts w:cs="Arial"/>
          <w:b/>
          <w:szCs w:val="20"/>
        </w:rPr>
        <w:t xml:space="preserve"> tiene la respuesta. Recomendaron a la empresa </w:t>
      </w:r>
      <w:proofErr w:type="spellStart"/>
      <w:r w:rsidRPr="0014109D">
        <w:rPr>
          <w:rFonts w:cs="Arial"/>
          <w:b/>
          <w:szCs w:val="20"/>
        </w:rPr>
        <w:t>Bilfinger</w:t>
      </w:r>
      <w:proofErr w:type="spellEnd"/>
      <w:r w:rsidRPr="0014109D">
        <w:rPr>
          <w:rFonts w:cs="Arial"/>
          <w:b/>
          <w:szCs w:val="20"/>
        </w:rPr>
        <w:t xml:space="preserve"> Industrial </w:t>
      </w:r>
      <w:proofErr w:type="spellStart"/>
      <w:r w:rsidRPr="0014109D">
        <w:rPr>
          <w:rFonts w:cs="Arial"/>
          <w:b/>
          <w:szCs w:val="20"/>
        </w:rPr>
        <w:t>Services</w:t>
      </w:r>
      <w:proofErr w:type="spellEnd"/>
      <w:r w:rsidRPr="0014109D">
        <w:rPr>
          <w:rFonts w:cs="Arial"/>
          <w:b/>
          <w:szCs w:val="20"/>
        </w:rPr>
        <w:t xml:space="preserve"> una antorcha </w:t>
      </w:r>
      <w:proofErr w:type="spellStart"/>
      <w:r w:rsidRPr="0014109D">
        <w:rPr>
          <w:rFonts w:cs="Arial"/>
          <w:b/>
          <w:szCs w:val="20"/>
        </w:rPr>
        <w:t>PushPull</w:t>
      </w:r>
      <w:proofErr w:type="spellEnd"/>
      <w:r w:rsidRPr="0014109D">
        <w:rPr>
          <w:rFonts w:cs="Arial"/>
          <w:b/>
          <w:szCs w:val="20"/>
        </w:rPr>
        <w:t xml:space="preserve"> con un juego de cables largo. Del cordón de soldadura perfecto se encarga la fuente de corriente TPS/i. </w:t>
      </w:r>
    </w:p>
    <w:p w:rsidR="0014109D" w:rsidRDefault="0014109D" w:rsidP="0014109D">
      <w:pPr>
        <w:rPr>
          <w:rFonts w:cs="Arial"/>
          <w:szCs w:val="20"/>
        </w:rPr>
      </w:pPr>
    </w:p>
    <w:p w:rsidR="0014109D" w:rsidRPr="0014109D" w:rsidRDefault="0014109D" w:rsidP="0014109D">
      <w:pPr>
        <w:rPr>
          <w:rFonts w:cs="Arial"/>
          <w:szCs w:val="20"/>
        </w:rPr>
      </w:pPr>
    </w:p>
    <w:p w:rsidR="0014109D" w:rsidRDefault="0014109D" w:rsidP="0014109D">
      <w:pPr>
        <w:rPr>
          <w:rFonts w:cs="Arial"/>
          <w:szCs w:val="20"/>
        </w:rPr>
      </w:pPr>
      <w:r w:rsidRPr="0014109D">
        <w:rPr>
          <w:rFonts w:cs="Arial"/>
          <w:szCs w:val="20"/>
        </w:rPr>
        <w:t xml:space="preserve">La ocasión que propició la compra fue la misión de construir componentes de acero para la cercana reconstrucción de la central hidroeléctrica de </w:t>
      </w:r>
      <w:proofErr w:type="spellStart"/>
      <w:r w:rsidRPr="0014109D">
        <w:rPr>
          <w:rFonts w:cs="Arial"/>
          <w:szCs w:val="20"/>
        </w:rPr>
        <w:t>Traunleiten</w:t>
      </w:r>
      <w:proofErr w:type="spellEnd"/>
      <w:r w:rsidRPr="0014109D">
        <w:rPr>
          <w:rFonts w:cs="Arial"/>
          <w:szCs w:val="20"/>
        </w:rPr>
        <w:t xml:space="preserve">. El contrato incluía la ingeniería, la fabricación, el envío y el montaje de 23 componentes de acero diferentes cuyo peso total ascendía a aproximadamente 350 toneladas. Entre estos componentes figuraban compuertas de entrada, ataguías de entrada a las turbinas, tamices gruesos para proteger las turbinas y dos compuertas de presa, llamadas compuertas abatibles de "vientre de pez". </w:t>
      </w:r>
    </w:p>
    <w:p w:rsidR="0014109D" w:rsidRPr="0014109D" w:rsidRDefault="0014109D" w:rsidP="0014109D">
      <w:pPr>
        <w:rPr>
          <w:rFonts w:cs="Arial"/>
          <w:szCs w:val="20"/>
        </w:rPr>
      </w:pPr>
    </w:p>
    <w:p w:rsidR="0014109D" w:rsidRPr="0014109D" w:rsidRDefault="0014109D" w:rsidP="0014109D">
      <w:pPr>
        <w:rPr>
          <w:rFonts w:cs="Arial"/>
          <w:b/>
          <w:szCs w:val="20"/>
        </w:rPr>
      </w:pPr>
      <w:proofErr w:type="gramStart"/>
      <w:r w:rsidRPr="0014109D">
        <w:rPr>
          <w:rFonts w:cs="Arial"/>
          <w:b/>
          <w:szCs w:val="20"/>
        </w:rPr>
        <w:t>La</w:t>
      </w:r>
      <w:proofErr w:type="gramEnd"/>
      <w:r w:rsidRPr="0014109D">
        <w:rPr>
          <w:rFonts w:cs="Arial"/>
          <w:b/>
          <w:szCs w:val="20"/>
        </w:rPr>
        <w:t xml:space="preserve"> compuertas abatibles de "vientre de pez" tienen una longitud de 44 metros</w:t>
      </w:r>
    </w:p>
    <w:p w:rsidR="0014109D" w:rsidRPr="0014109D" w:rsidRDefault="0014109D" w:rsidP="0014109D">
      <w:pPr>
        <w:rPr>
          <w:rFonts w:cs="Arial"/>
          <w:szCs w:val="20"/>
        </w:rPr>
      </w:pPr>
    </w:p>
    <w:p w:rsidR="0014109D" w:rsidRDefault="0014109D" w:rsidP="0014109D">
      <w:pPr>
        <w:rPr>
          <w:rFonts w:cs="Arial"/>
          <w:szCs w:val="20"/>
        </w:rPr>
      </w:pPr>
      <w:r w:rsidRPr="0014109D">
        <w:rPr>
          <w:rFonts w:cs="Arial"/>
          <w:szCs w:val="20"/>
        </w:rPr>
        <w:t>Estas compuertas controlan la altura del agua de la presa en las centrales de agua fluyente. Tienen una forma arqueada parecida al vientre de un pez que las hace especialmente resistentes a la torsión. Eso es exactamente lo que este proyecto requería. Dos compuertas giratorias, cada una de 44 metros de largo, unidas por una parte frontal a la pared lateral de la presa mediante un accionamiento hidráulico ajustable. Aparte de esto, las compuertas de aproximadamente 2,5 metros de alto están conectadas con el umbral del aliviadero a través de un eje giratorio. Esto facilita la elevación y el descenso de la compuerta abatible de "vientre de pez" y permite, por ende, regular rápidamente el nivel del agua.</w:t>
      </w:r>
    </w:p>
    <w:p w:rsidR="0014109D" w:rsidRPr="0014109D" w:rsidRDefault="0014109D" w:rsidP="0014109D">
      <w:pPr>
        <w:rPr>
          <w:rFonts w:cs="Arial"/>
          <w:szCs w:val="20"/>
        </w:rPr>
      </w:pPr>
    </w:p>
    <w:p w:rsidR="0014109D" w:rsidRDefault="0014109D" w:rsidP="0014109D">
      <w:pPr>
        <w:rPr>
          <w:rFonts w:cs="Arial"/>
          <w:szCs w:val="20"/>
        </w:rPr>
      </w:pPr>
      <w:r w:rsidRPr="0014109D">
        <w:rPr>
          <w:rFonts w:cs="Arial"/>
          <w:szCs w:val="20"/>
        </w:rPr>
        <w:t xml:space="preserve">"Debido a las limitaciones con el transporte, dividimos los cuerpos de las compuertas en tres segmentos de hasta 16 metros", explica </w:t>
      </w:r>
      <w:proofErr w:type="spellStart"/>
      <w:r w:rsidRPr="0014109D">
        <w:rPr>
          <w:rFonts w:cs="Arial"/>
          <w:szCs w:val="20"/>
        </w:rPr>
        <w:t>Bernhard</w:t>
      </w:r>
      <w:proofErr w:type="spellEnd"/>
      <w:r w:rsidRPr="0014109D">
        <w:rPr>
          <w:rFonts w:cs="Arial"/>
          <w:szCs w:val="20"/>
        </w:rPr>
        <w:t xml:space="preserve"> </w:t>
      </w:r>
      <w:proofErr w:type="spellStart"/>
      <w:r w:rsidRPr="0014109D">
        <w:rPr>
          <w:rFonts w:cs="Arial"/>
          <w:szCs w:val="20"/>
        </w:rPr>
        <w:t>Bridl</w:t>
      </w:r>
      <w:proofErr w:type="spellEnd"/>
      <w:r w:rsidRPr="0014109D">
        <w:rPr>
          <w:rFonts w:cs="Arial"/>
          <w:szCs w:val="20"/>
        </w:rPr>
        <w:t xml:space="preserve">, director de proyecto en el departamento de servicios hidroeléctricos de </w:t>
      </w:r>
      <w:proofErr w:type="spellStart"/>
      <w:r w:rsidRPr="0014109D">
        <w:rPr>
          <w:rFonts w:cs="Arial"/>
          <w:szCs w:val="20"/>
        </w:rPr>
        <w:t>Bilfinger</w:t>
      </w:r>
      <w:proofErr w:type="spellEnd"/>
      <w:r w:rsidRPr="0014109D">
        <w:rPr>
          <w:rFonts w:cs="Arial"/>
          <w:szCs w:val="20"/>
        </w:rPr>
        <w:t xml:space="preserve">, en la sede de </w:t>
      </w:r>
      <w:proofErr w:type="spellStart"/>
      <w:r w:rsidRPr="0014109D">
        <w:rPr>
          <w:rFonts w:cs="Arial"/>
          <w:szCs w:val="20"/>
        </w:rPr>
        <w:t>Wels</w:t>
      </w:r>
      <w:proofErr w:type="spellEnd"/>
      <w:r w:rsidRPr="0014109D">
        <w:rPr>
          <w:rFonts w:cs="Arial"/>
          <w:szCs w:val="20"/>
        </w:rPr>
        <w:t>. "La unión de las piezas se realizó en la obra mediante placas de montaje con uniones atornilladas de alta resistencia, lo cual requiere una revisión constante del par de apriete". Se estimó que, para cada segmento, se necesitaba una boca de acceso con un diámetro de 650 milímetros que se pudiera volver a cerrar.</w:t>
      </w:r>
    </w:p>
    <w:p w:rsidR="0014109D" w:rsidRPr="0014109D" w:rsidRDefault="0014109D" w:rsidP="0014109D">
      <w:pPr>
        <w:rPr>
          <w:rFonts w:cs="Arial"/>
          <w:szCs w:val="20"/>
        </w:rPr>
      </w:pPr>
    </w:p>
    <w:p w:rsidR="0014109D" w:rsidRPr="0014109D" w:rsidRDefault="0014109D" w:rsidP="0014109D">
      <w:pPr>
        <w:rPr>
          <w:rFonts w:cs="Arial"/>
          <w:b/>
          <w:szCs w:val="20"/>
        </w:rPr>
      </w:pPr>
      <w:r w:rsidRPr="0014109D">
        <w:rPr>
          <w:rFonts w:cs="Arial"/>
          <w:b/>
          <w:szCs w:val="20"/>
        </w:rPr>
        <w:t>Hasta entonces eran indispensables múltiples bocas de acceso</w:t>
      </w:r>
    </w:p>
    <w:p w:rsidR="0014109D" w:rsidRPr="0014109D" w:rsidRDefault="0014109D" w:rsidP="0014109D">
      <w:pPr>
        <w:rPr>
          <w:rFonts w:cs="Arial"/>
          <w:szCs w:val="20"/>
        </w:rPr>
      </w:pPr>
      <w:r w:rsidRPr="0014109D">
        <w:rPr>
          <w:rFonts w:cs="Arial"/>
          <w:szCs w:val="20"/>
        </w:rPr>
        <w:t xml:space="preserve">Para el mantenimiento bastaba con un solo acceso, pero para soldar los segmentos de 16 metros de largo con el equipo de soldadura del que disponía entonces </w:t>
      </w:r>
      <w:proofErr w:type="spellStart"/>
      <w:r w:rsidRPr="0014109D">
        <w:rPr>
          <w:rFonts w:cs="Arial"/>
          <w:szCs w:val="20"/>
        </w:rPr>
        <w:t>Bilfinger</w:t>
      </w:r>
      <w:proofErr w:type="spellEnd"/>
      <w:r w:rsidRPr="0014109D">
        <w:rPr>
          <w:rFonts w:cs="Arial"/>
          <w:szCs w:val="20"/>
        </w:rPr>
        <w:t xml:space="preserve"> necesitaba, por lo menos, dos bocas de acceso. Para poder alcanzar las posiciones de soldadura necesarias, los soldadores tendrían que haberse llevado consigo la fuente de corriente de soldadura y la devanadora al interior de la pieza de trabajo. "Después tendríamos que haber vuelto a cerrar los accesos adicionales y haber comprobado su estanqueidad. Independientemente de los costes, cada boca de acceso adicional se convierte en un punto vulnerable de la instalación que el agua podría penetrar", explica </w:t>
      </w:r>
      <w:proofErr w:type="spellStart"/>
      <w:r w:rsidRPr="0014109D">
        <w:rPr>
          <w:rFonts w:cs="Arial"/>
          <w:szCs w:val="20"/>
        </w:rPr>
        <w:t>Brindl</w:t>
      </w:r>
      <w:proofErr w:type="spellEnd"/>
      <w:r w:rsidRPr="0014109D">
        <w:rPr>
          <w:rFonts w:cs="Arial"/>
          <w:szCs w:val="20"/>
        </w:rPr>
        <w:t xml:space="preserve">. </w:t>
      </w:r>
    </w:p>
    <w:p w:rsidR="0014109D" w:rsidRPr="0014109D" w:rsidRDefault="0014109D" w:rsidP="0014109D">
      <w:pPr>
        <w:rPr>
          <w:rFonts w:cs="Arial"/>
          <w:szCs w:val="20"/>
        </w:rPr>
      </w:pPr>
    </w:p>
    <w:p w:rsidR="0014109D" w:rsidRPr="0014109D" w:rsidRDefault="0014109D" w:rsidP="0014109D">
      <w:pPr>
        <w:rPr>
          <w:rFonts w:cs="Arial"/>
          <w:b/>
          <w:szCs w:val="20"/>
        </w:rPr>
      </w:pPr>
      <w:r w:rsidRPr="0014109D">
        <w:rPr>
          <w:rFonts w:cs="Arial"/>
          <w:b/>
          <w:szCs w:val="20"/>
        </w:rPr>
        <w:t>Cordones de soldadura de 600 metros</w:t>
      </w:r>
    </w:p>
    <w:p w:rsidR="0014109D" w:rsidRPr="0014109D" w:rsidRDefault="0014109D" w:rsidP="0014109D">
      <w:pPr>
        <w:rPr>
          <w:rFonts w:cs="Arial"/>
          <w:szCs w:val="20"/>
        </w:rPr>
      </w:pPr>
    </w:p>
    <w:p w:rsidR="0014109D" w:rsidRDefault="0014109D" w:rsidP="0014109D">
      <w:pPr>
        <w:rPr>
          <w:rFonts w:cs="Arial"/>
          <w:szCs w:val="20"/>
        </w:rPr>
      </w:pPr>
      <w:proofErr w:type="spellStart"/>
      <w:r w:rsidRPr="0014109D">
        <w:rPr>
          <w:rFonts w:cs="Arial"/>
          <w:szCs w:val="20"/>
        </w:rPr>
        <w:t>Fronius</w:t>
      </w:r>
      <w:proofErr w:type="spellEnd"/>
      <w:r w:rsidRPr="0014109D">
        <w:rPr>
          <w:rFonts w:cs="Arial"/>
          <w:szCs w:val="20"/>
        </w:rPr>
        <w:t xml:space="preserve"> recomendó a los expertos de </w:t>
      </w:r>
      <w:proofErr w:type="spellStart"/>
      <w:r w:rsidRPr="0014109D">
        <w:rPr>
          <w:rFonts w:cs="Arial"/>
          <w:szCs w:val="20"/>
        </w:rPr>
        <w:t>Bilfinger</w:t>
      </w:r>
      <w:proofErr w:type="spellEnd"/>
      <w:r w:rsidRPr="0014109D">
        <w:rPr>
          <w:rFonts w:cs="Arial"/>
          <w:szCs w:val="20"/>
        </w:rPr>
        <w:t xml:space="preserve"> utilizar un juego de cables largo en combinación con una antorcha </w:t>
      </w:r>
      <w:proofErr w:type="spellStart"/>
      <w:r w:rsidRPr="0014109D">
        <w:rPr>
          <w:rFonts w:cs="Arial"/>
          <w:szCs w:val="20"/>
        </w:rPr>
        <w:t>PushPull</w:t>
      </w:r>
      <w:proofErr w:type="spellEnd"/>
      <w:r w:rsidRPr="0014109D">
        <w:rPr>
          <w:rFonts w:cs="Arial"/>
          <w:szCs w:val="20"/>
        </w:rPr>
        <w:t xml:space="preserve"> y una fuente de corriente de soldadura de la última generación de equipos TPS/i. </w:t>
      </w:r>
      <w:proofErr w:type="spellStart"/>
      <w:r w:rsidRPr="0014109D">
        <w:rPr>
          <w:rFonts w:cs="Arial"/>
          <w:szCs w:val="20"/>
        </w:rPr>
        <w:t>Bilfinger</w:t>
      </w:r>
      <w:proofErr w:type="spellEnd"/>
      <w:r w:rsidRPr="0014109D">
        <w:rPr>
          <w:rFonts w:cs="Arial"/>
          <w:szCs w:val="20"/>
        </w:rPr>
        <w:t xml:space="preserve"> confía en </w:t>
      </w:r>
      <w:proofErr w:type="spellStart"/>
      <w:r w:rsidRPr="0014109D">
        <w:rPr>
          <w:rFonts w:cs="Arial"/>
          <w:szCs w:val="20"/>
        </w:rPr>
        <w:t>Fronius</w:t>
      </w:r>
      <w:proofErr w:type="spellEnd"/>
      <w:r w:rsidRPr="0014109D">
        <w:rPr>
          <w:rFonts w:cs="Arial"/>
          <w:szCs w:val="20"/>
        </w:rPr>
        <w:t xml:space="preserve"> desde hace mucho. "Contamos con varios cientos de equipos </w:t>
      </w:r>
      <w:proofErr w:type="spellStart"/>
      <w:r w:rsidRPr="0014109D">
        <w:rPr>
          <w:rFonts w:cs="Arial"/>
          <w:szCs w:val="20"/>
        </w:rPr>
        <w:t>Fronius</w:t>
      </w:r>
      <w:proofErr w:type="spellEnd"/>
      <w:r w:rsidRPr="0014109D">
        <w:rPr>
          <w:rFonts w:cs="Arial"/>
          <w:szCs w:val="20"/>
        </w:rPr>
        <w:t xml:space="preserve">, utilizados por más de 300 soldadores, tanto en talleres como en obras", subraya </w:t>
      </w:r>
      <w:proofErr w:type="spellStart"/>
      <w:r w:rsidRPr="0014109D">
        <w:rPr>
          <w:rFonts w:cs="Arial"/>
          <w:szCs w:val="20"/>
        </w:rPr>
        <w:t>Brindl</w:t>
      </w:r>
      <w:proofErr w:type="spellEnd"/>
      <w:r w:rsidRPr="0014109D">
        <w:rPr>
          <w:rFonts w:cs="Arial"/>
          <w:szCs w:val="20"/>
        </w:rPr>
        <w:t xml:space="preserve">. Así pues, el proveedor de servicios industriales aceptó la recomendación y encargó una antorcha de soldadura </w:t>
      </w:r>
      <w:proofErr w:type="spellStart"/>
      <w:r w:rsidRPr="0014109D">
        <w:rPr>
          <w:rFonts w:cs="Arial"/>
          <w:szCs w:val="20"/>
        </w:rPr>
        <w:t>PullMig</w:t>
      </w:r>
      <w:proofErr w:type="spellEnd"/>
      <w:r w:rsidRPr="0014109D">
        <w:rPr>
          <w:rFonts w:cs="Arial"/>
          <w:szCs w:val="20"/>
        </w:rPr>
        <w:t xml:space="preserve"> de ocho metros de largo y una TPS 500i para la construcción de las compuertas abatibles,</w:t>
      </w:r>
      <w:r>
        <w:rPr>
          <w:rFonts w:cs="Arial"/>
          <w:szCs w:val="20"/>
        </w:rPr>
        <w:t xml:space="preserve"> </w:t>
      </w:r>
      <w:r w:rsidRPr="0014109D">
        <w:rPr>
          <w:rFonts w:cs="Arial"/>
          <w:szCs w:val="20"/>
        </w:rPr>
        <w:t xml:space="preserve">en la que los expertos soldaron chapas de acero S355 principalmente con soldadura en </w:t>
      </w:r>
      <w:proofErr w:type="spellStart"/>
      <w:r w:rsidRPr="0014109D">
        <w:rPr>
          <w:rFonts w:cs="Arial"/>
          <w:szCs w:val="20"/>
        </w:rPr>
        <w:t>angulo</w:t>
      </w:r>
      <w:proofErr w:type="spellEnd"/>
      <w:r w:rsidRPr="0014109D">
        <w:rPr>
          <w:rFonts w:cs="Arial"/>
          <w:szCs w:val="20"/>
        </w:rPr>
        <w:t>, y también con algunos cordones en V de una longitud total</w:t>
      </w:r>
      <w:r>
        <w:rPr>
          <w:rFonts w:cs="Arial"/>
          <w:szCs w:val="20"/>
        </w:rPr>
        <w:t xml:space="preserve"> de aproximadamente 600 metros.</w:t>
      </w:r>
    </w:p>
    <w:p w:rsidR="0014109D" w:rsidRDefault="0014109D" w:rsidP="0014109D">
      <w:pPr>
        <w:rPr>
          <w:rFonts w:cs="Arial"/>
          <w:szCs w:val="20"/>
        </w:rPr>
      </w:pPr>
    </w:p>
    <w:p w:rsidR="0014109D" w:rsidRDefault="0014109D" w:rsidP="0014109D">
      <w:pPr>
        <w:rPr>
          <w:rFonts w:cs="Arial"/>
          <w:szCs w:val="20"/>
        </w:rPr>
      </w:pPr>
      <w:r w:rsidRPr="0014109D">
        <w:rPr>
          <w:rFonts w:cs="Arial"/>
          <w:szCs w:val="20"/>
        </w:rPr>
        <w:t>Empezaron con la creación de una bandeja de acero que constituiría un lado de la compuerta. Para ello, se soldaron refuerzos y, posteriormente, la "tapa". Los soldadores tuvieron que cumplir al milímetro con los estrictos límites de tolerancia y procurar que la deformación del cordón fuera la mínima posible, para que posteriormente las piezas se pudieran unir mediante el eje giratorio. A fin de evitar posiciones forzadas en la medida de lo posible, los soldadores utilizaron repetidamente la grúa de ro</w:t>
      </w:r>
      <w:r>
        <w:rPr>
          <w:rFonts w:cs="Arial"/>
          <w:szCs w:val="20"/>
        </w:rPr>
        <w:t>dillo para plegar la compuerta.</w:t>
      </w:r>
    </w:p>
    <w:p w:rsidR="0014109D" w:rsidRPr="0014109D" w:rsidRDefault="0014109D" w:rsidP="0014109D">
      <w:pPr>
        <w:rPr>
          <w:rFonts w:cs="Arial"/>
          <w:szCs w:val="20"/>
        </w:rPr>
      </w:pPr>
    </w:p>
    <w:p w:rsidR="0014109D" w:rsidRPr="0014109D" w:rsidRDefault="0014109D" w:rsidP="0014109D">
      <w:pPr>
        <w:rPr>
          <w:rFonts w:cs="Arial"/>
          <w:b/>
          <w:szCs w:val="20"/>
        </w:rPr>
      </w:pPr>
      <w:r w:rsidRPr="0014109D">
        <w:rPr>
          <w:rFonts w:cs="Arial"/>
          <w:b/>
          <w:szCs w:val="20"/>
        </w:rPr>
        <w:t>Más libertad de movimiento</w:t>
      </w:r>
    </w:p>
    <w:p w:rsidR="0014109D" w:rsidRPr="0014109D" w:rsidRDefault="0014109D" w:rsidP="0014109D">
      <w:pPr>
        <w:rPr>
          <w:rFonts w:cs="Arial"/>
          <w:szCs w:val="20"/>
        </w:rPr>
      </w:pPr>
    </w:p>
    <w:p w:rsidR="0014109D" w:rsidRDefault="0014109D" w:rsidP="0014109D">
      <w:pPr>
        <w:rPr>
          <w:rFonts w:cs="Arial"/>
          <w:szCs w:val="20"/>
        </w:rPr>
      </w:pPr>
      <w:r w:rsidRPr="0014109D">
        <w:rPr>
          <w:rFonts w:cs="Arial"/>
          <w:szCs w:val="20"/>
        </w:rPr>
        <w:t xml:space="preserve">"El resultado nos ha maravillado a todos", confiesa </w:t>
      </w:r>
      <w:proofErr w:type="spellStart"/>
      <w:r w:rsidRPr="0014109D">
        <w:rPr>
          <w:rFonts w:cs="Arial"/>
          <w:szCs w:val="20"/>
        </w:rPr>
        <w:t>Brindl</w:t>
      </w:r>
      <w:proofErr w:type="spellEnd"/>
      <w:r w:rsidRPr="0014109D">
        <w:rPr>
          <w:rFonts w:cs="Arial"/>
          <w:szCs w:val="20"/>
        </w:rPr>
        <w:t xml:space="preserve">. "El radio de acción ampliado gracias al largo juego de cables nos ha permitido prescindir de una segunda boca de acceso por cada segmento y, por tanto, de ahorrarnos completamente todo el esfuerzo que ello conllevaba". Además, los trabajadores pudieron emplazar la fuente de corriente de soldadura y la devanadora por fuera del cuerpo de la compuerta y </w:t>
      </w:r>
      <w:proofErr w:type="spellStart"/>
      <w:r w:rsidRPr="0014109D">
        <w:rPr>
          <w:rFonts w:cs="Arial"/>
          <w:szCs w:val="20"/>
        </w:rPr>
        <w:t>aún</w:t>
      </w:r>
      <w:proofErr w:type="spellEnd"/>
      <w:r w:rsidRPr="0014109D">
        <w:rPr>
          <w:rFonts w:cs="Arial"/>
          <w:szCs w:val="20"/>
        </w:rPr>
        <w:t xml:space="preserve"> así conseguir alcanzar las posiciones necesarias. "Eso no solo supone una ventaja en cuanto a la libertad de movimiento en un espacio que ya de por sí tenía un diámetro de 1500 por 800 milímetros; sino que también facilita el acceso y la labor de rescate al equipo de salvamento en caso de emergencia, lo cual es decisivo para nosotros".</w:t>
      </w:r>
    </w:p>
    <w:p w:rsidR="0014109D" w:rsidRPr="0014109D" w:rsidRDefault="0014109D" w:rsidP="0014109D">
      <w:pPr>
        <w:rPr>
          <w:rFonts w:cs="Arial"/>
          <w:szCs w:val="20"/>
        </w:rPr>
      </w:pPr>
    </w:p>
    <w:p w:rsidR="0014109D" w:rsidRPr="0014109D" w:rsidRDefault="0014109D" w:rsidP="0014109D">
      <w:pPr>
        <w:rPr>
          <w:rFonts w:cs="Arial"/>
          <w:szCs w:val="20"/>
        </w:rPr>
      </w:pPr>
      <w:r w:rsidRPr="0014109D">
        <w:rPr>
          <w:rFonts w:cs="Arial"/>
          <w:szCs w:val="20"/>
        </w:rPr>
        <w:t xml:space="preserve">El equipamiento ofrece muchas otras ventajas que repercuten en la eficiencia, ergonomía y calidad, y que también son aplicables para la construcción naval, de oleoductos y de depósitos. El control remoto </w:t>
      </w:r>
      <w:proofErr w:type="spellStart"/>
      <w:r w:rsidRPr="0014109D">
        <w:rPr>
          <w:rFonts w:cs="Arial"/>
          <w:szCs w:val="20"/>
        </w:rPr>
        <w:t>JobMaster</w:t>
      </w:r>
      <w:proofErr w:type="spellEnd"/>
      <w:r w:rsidRPr="0014109D">
        <w:rPr>
          <w:rFonts w:cs="Arial"/>
          <w:szCs w:val="20"/>
        </w:rPr>
        <w:t xml:space="preserve">, accesible directamente en el cuello antorcha, permite ajustar todos los parámetros de soldadura importantes. Gracias a esto, el soldador puede gestionar directamente diferentes tareas de soldadura sin rodeos ni largas interrupciones. "Nuestros soldadores alaban, en especial, la uniformidad del avance de hilo", cuenta </w:t>
      </w:r>
      <w:proofErr w:type="spellStart"/>
      <w:r w:rsidRPr="0014109D">
        <w:rPr>
          <w:rFonts w:cs="Arial"/>
          <w:szCs w:val="20"/>
        </w:rPr>
        <w:t>Brindl</w:t>
      </w:r>
      <w:proofErr w:type="spellEnd"/>
      <w:r w:rsidRPr="0014109D">
        <w:rPr>
          <w:rFonts w:cs="Arial"/>
          <w:szCs w:val="20"/>
        </w:rPr>
        <w:t xml:space="preserve">. Además, la luz LED integrada en la antorcha de soldadura facilita el trabajo en los espacios mal iluminados. A pesar de esto y de llevar integrado un accionamiento a dos rodillos, la antorcha de soldadura es muy compacta y solamente pesa 1,6 kg, lo que la convierte en una de las más ligeras de su clase. Combinada con la rápida regulación de arco voltaico típica de los equipos TPS/i y con el proceso PMC, permite satisfacer las máximas exigencias de calidad de manera eficiente, segura y cómoda. </w:t>
      </w:r>
    </w:p>
    <w:p w:rsidR="0014109D" w:rsidRDefault="0014109D" w:rsidP="0014109D">
      <w:pPr>
        <w:rPr>
          <w:rFonts w:cs="Arial"/>
          <w:szCs w:val="20"/>
        </w:rPr>
      </w:pPr>
    </w:p>
    <w:p w:rsidR="0014109D" w:rsidRPr="0014109D" w:rsidRDefault="0014109D" w:rsidP="0014109D">
      <w:pPr>
        <w:rPr>
          <w:rFonts w:cs="Arial"/>
          <w:b/>
          <w:szCs w:val="20"/>
        </w:rPr>
      </w:pPr>
      <w:r w:rsidRPr="0014109D">
        <w:rPr>
          <w:rFonts w:cs="Arial"/>
          <w:b/>
          <w:szCs w:val="20"/>
        </w:rPr>
        <w:t>Éxito a largo plazo</w:t>
      </w:r>
    </w:p>
    <w:p w:rsidR="0014109D" w:rsidRPr="0014109D" w:rsidRDefault="0014109D" w:rsidP="0014109D">
      <w:pPr>
        <w:rPr>
          <w:rFonts w:cs="Arial"/>
          <w:szCs w:val="20"/>
        </w:rPr>
      </w:pPr>
    </w:p>
    <w:p w:rsidR="0014109D" w:rsidRPr="0014109D" w:rsidRDefault="0014109D" w:rsidP="0014109D">
      <w:pPr>
        <w:rPr>
          <w:rFonts w:cs="Arial"/>
          <w:szCs w:val="20"/>
        </w:rPr>
      </w:pPr>
      <w:r w:rsidRPr="0014109D">
        <w:rPr>
          <w:rFonts w:cs="Arial"/>
          <w:szCs w:val="20"/>
        </w:rPr>
        <w:t xml:space="preserve">"Los soldadores prefieren trabajar solamente con este equipo", cuenta el director de proyecto a modo de resumen. "Hemos reservado inmediatamente la TPS 500i con la antorcha de soldadura larga </w:t>
      </w:r>
      <w:proofErr w:type="spellStart"/>
      <w:r w:rsidRPr="0014109D">
        <w:rPr>
          <w:rFonts w:cs="Arial"/>
          <w:szCs w:val="20"/>
        </w:rPr>
        <w:t>PullMig</w:t>
      </w:r>
      <w:proofErr w:type="spellEnd"/>
      <w:r w:rsidRPr="0014109D">
        <w:rPr>
          <w:rFonts w:cs="Arial"/>
          <w:szCs w:val="20"/>
        </w:rPr>
        <w:t xml:space="preserve"> para nuestro departamento. El departamento responsable de la construcción de depósitos ha seguido el ejemplo y también ha encargado un juego de cables largo, con el que los soldadores podrán realizar su trabajo incluso en depósitos mayores, y beneficiarse de un radio de acción más amplio". </w:t>
      </w:r>
    </w:p>
    <w:p w:rsidR="0014109D" w:rsidRDefault="0014109D" w:rsidP="00C724A2">
      <w:pPr>
        <w:rPr>
          <w:rFonts w:cs="Arial"/>
          <w:szCs w:val="20"/>
        </w:rPr>
      </w:pPr>
    </w:p>
    <w:p w:rsidR="00C724A2" w:rsidRPr="00C724A2" w:rsidRDefault="00C724A2" w:rsidP="00C724A2">
      <w:pPr>
        <w:rPr>
          <w:rFonts w:cs="Arial"/>
          <w:szCs w:val="20"/>
        </w:rPr>
      </w:pPr>
    </w:p>
    <w:p w:rsidR="00E03C0D" w:rsidRPr="00C724A2" w:rsidRDefault="0014109D" w:rsidP="00C724A2">
      <w:pPr>
        <w:rPr>
          <w:rFonts w:cs="Arial"/>
          <w:i/>
          <w:szCs w:val="20"/>
        </w:rPr>
      </w:pPr>
      <w:r>
        <w:rPr>
          <w:rFonts w:cs="Arial"/>
          <w:i/>
          <w:szCs w:val="20"/>
        </w:rPr>
        <w:t>6</w:t>
      </w:r>
      <w:r w:rsidR="00463090" w:rsidRPr="00C724A2">
        <w:rPr>
          <w:rFonts w:cs="Arial"/>
          <w:i/>
          <w:szCs w:val="20"/>
        </w:rPr>
        <w:t>.</w:t>
      </w:r>
      <w:r>
        <w:rPr>
          <w:rFonts w:cs="Arial"/>
          <w:i/>
          <w:szCs w:val="20"/>
        </w:rPr>
        <w:t>847</w:t>
      </w:r>
      <w:r w:rsidR="00E03C0D" w:rsidRPr="00C724A2">
        <w:rPr>
          <w:rFonts w:cs="Arial"/>
          <w:i/>
          <w:szCs w:val="20"/>
        </w:rPr>
        <w:t xml:space="preserve"> caracteres incluidos espacios</w:t>
      </w:r>
    </w:p>
    <w:p w:rsidR="00E03C0D" w:rsidRDefault="00E03C0D" w:rsidP="00C724A2">
      <w:pPr>
        <w:rPr>
          <w:rFonts w:cs="Arial"/>
          <w:i/>
          <w:szCs w:val="20"/>
        </w:rPr>
      </w:pPr>
    </w:p>
    <w:p w:rsidR="00C724A2" w:rsidRPr="00C724A2" w:rsidRDefault="00C724A2" w:rsidP="00C724A2">
      <w:pPr>
        <w:rPr>
          <w:rFonts w:cs="Arial"/>
          <w:i/>
          <w:szCs w:val="20"/>
        </w:rPr>
      </w:pPr>
    </w:p>
    <w:p w:rsidR="0014109D" w:rsidRPr="00C840D0" w:rsidRDefault="0014109D" w:rsidP="0014109D">
      <w:pPr>
        <w:rPr>
          <w:rFonts w:cs="Arial"/>
          <w:b/>
          <w:szCs w:val="20"/>
        </w:rPr>
      </w:pPr>
      <w:r w:rsidRPr="00C840D0">
        <w:rPr>
          <w:b/>
          <w:szCs w:val="20"/>
        </w:rPr>
        <w:t xml:space="preserve">Imágenes: </w:t>
      </w:r>
      <w:bookmarkStart w:id="0" w:name="_GoBack"/>
      <w:bookmarkEnd w:id="0"/>
    </w:p>
    <w:p w:rsidR="0014109D" w:rsidRPr="00C840D0" w:rsidRDefault="0014109D" w:rsidP="0014109D">
      <w:pPr>
        <w:rPr>
          <w:noProof/>
          <w:lang w:val="de-AT" w:eastAsia="de-AT"/>
        </w:rPr>
      </w:pPr>
    </w:p>
    <w:p w:rsidR="0014109D" w:rsidRPr="00C840D0" w:rsidRDefault="0014109D" w:rsidP="0014109D">
      <w:pPr>
        <w:rPr>
          <w:rFonts w:cs="Arial"/>
          <w:szCs w:val="20"/>
        </w:rPr>
      </w:pPr>
      <w:r w:rsidRPr="00C840D0">
        <w:rPr>
          <w:noProof/>
          <w:lang w:val="de-AT" w:eastAsia="de-AT"/>
        </w:rPr>
        <w:drawing>
          <wp:inline distT="0" distB="0" distL="0" distR="0" wp14:anchorId="2D6AB3B7" wp14:editId="717D5196">
            <wp:extent cx="1250386" cy="158115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256966" cy="1589470"/>
                    </a:xfrm>
                    <a:prstGeom prst="rect">
                      <a:avLst/>
                    </a:prstGeom>
                    <a:ln>
                      <a:noFill/>
                    </a:ln>
                    <a:extLst>
                      <a:ext uri="{53640926-AAD7-44D8-BBD7-CCE9431645EC}">
                        <a14:shadowObscured xmlns:a14="http://schemas.microsoft.com/office/drawing/2010/main"/>
                      </a:ext>
                    </a:extLst>
                  </pic:spPr>
                </pic:pic>
              </a:graphicData>
            </a:graphic>
          </wp:inline>
        </w:drawing>
      </w:r>
    </w:p>
    <w:p w:rsidR="0014109D" w:rsidRPr="00C840D0" w:rsidRDefault="0014109D" w:rsidP="0014109D">
      <w:pPr>
        <w:rPr>
          <w:rFonts w:cs="Arial"/>
          <w:b/>
          <w:szCs w:val="20"/>
        </w:rPr>
      </w:pPr>
      <w:r w:rsidRPr="00C840D0">
        <w:rPr>
          <w:b/>
          <w:szCs w:val="20"/>
        </w:rPr>
        <w:t>Imagen 1:</w:t>
      </w:r>
    </w:p>
    <w:p w:rsidR="0014109D" w:rsidRPr="00C840D0" w:rsidRDefault="0014109D" w:rsidP="0014109D">
      <w:pPr>
        <w:rPr>
          <w:rFonts w:cs="Arial"/>
          <w:szCs w:val="20"/>
        </w:rPr>
      </w:pPr>
      <w:r w:rsidRPr="00C840D0">
        <w:t xml:space="preserve">Con una longitud de 44 metros, la compuerta abatible de "vientre de pez" de la central hidroeléctrica de </w:t>
      </w:r>
      <w:proofErr w:type="spellStart"/>
      <w:r w:rsidRPr="00C840D0">
        <w:t>Traunleiten</w:t>
      </w:r>
      <w:proofErr w:type="spellEnd"/>
      <w:r w:rsidRPr="00C840D0">
        <w:t xml:space="preserve"> es una de las más largas de su clase en Austria.</w:t>
      </w:r>
    </w:p>
    <w:p w:rsidR="0014109D" w:rsidRPr="00C840D0" w:rsidRDefault="0014109D" w:rsidP="0014109D">
      <w:pPr>
        <w:rPr>
          <w:rFonts w:cs="Arial"/>
          <w:szCs w:val="20"/>
        </w:rPr>
      </w:pPr>
    </w:p>
    <w:p w:rsidR="0014109D" w:rsidRPr="00C840D0" w:rsidRDefault="0014109D" w:rsidP="0014109D">
      <w:pPr>
        <w:rPr>
          <w:rFonts w:cs="Arial"/>
          <w:szCs w:val="20"/>
        </w:rPr>
      </w:pPr>
      <w:r w:rsidRPr="00C840D0">
        <w:rPr>
          <w:noProof/>
          <w:lang w:val="de-AT" w:eastAsia="de-AT"/>
        </w:rPr>
        <w:lastRenderedPageBreak/>
        <w:drawing>
          <wp:inline distT="0" distB="0" distL="0" distR="0" wp14:anchorId="6FAFED16" wp14:editId="4B276019">
            <wp:extent cx="1860476" cy="1238250"/>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865405" cy="1241531"/>
                    </a:xfrm>
                    <a:prstGeom prst="rect">
                      <a:avLst/>
                    </a:prstGeom>
                  </pic:spPr>
                </pic:pic>
              </a:graphicData>
            </a:graphic>
          </wp:inline>
        </w:drawing>
      </w:r>
    </w:p>
    <w:p w:rsidR="0014109D" w:rsidRPr="00C840D0" w:rsidRDefault="0014109D" w:rsidP="0014109D">
      <w:pPr>
        <w:rPr>
          <w:rFonts w:cs="Arial"/>
          <w:b/>
          <w:szCs w:val="20"/>
        </w:rPr>
      </w:pPr>
      <w:r w:rsidRPr="00C840D0">
        <w:rPr>
          <w:b/>
          <w:szCs w:val="20"/>
        </w:rPr>
        <w:t>Imagen 2:</w:t>
      </w:r>
    </w:p>
    <w:p w:rsidR="0014109D" w:rsidRPr="00C840D0" w:rsidRDefault="0014109D" w:rsidP="0014109D">
      <w:pPr>
        <w:rPr>
          <w:rFonts w:cs="Arial"/>
          <w:szCs w:val="20"/>
        </w:rPr>
      </w:pPr>
      <w:r w:rsidRPr="00C840D0">
        <w:t>Condiciones de espacio muy limitadas en el interior de la compuerta de presa.</w:t>
      </w:r>
    </w:p>
    <w:p w:rsidR="0014109D" w:rsidRPr="00C840D0" w:rsidRDefault="0014109D" w:rsidP="0014109D">
      <w:pPr>
        <w:rPr>
          <w:rFonts w:cs="Arial"/>
          <w:szCs w:val="20"/>
        </w:rPr>
      </w:pPr>
    </w:p>
    <w:p w:rsidR="0014109D" w:rsidRPr="00C840D0" w:rsidRDefault="0014109D" w:rsidP="0014109D">
      <w:pPr>
        <w:rPr>
          <w:rFonts w:cs="Arial"/>
          <w:szCs w:val="20"/>
        </w:rPr>
      </w:pPr>
      <w:r w:rsidRPr="00C840D0">
        <w:rPr>
          <w:noProof/>
          <w:lang w:val="de-AT" w:eastAsia="de-AT"/>
        </w:rPr>
        <w:drawing>
          <wp:inline distT="0" distB="0" distL="0" distR="0" wp14:anchorId="409E89B5" wp14:editId="1D15AA71">
            <wp:extent cx="1859915" cy="1741377"/>
            <wp:effectExtent l="0" t="0" r="698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a:ext>
                      </a:extLst>
                    </a:blip>
                    <a:stretch>
                      <a:fillRect/>
                    </a:stretch>
                  </pic:blipFill>
                  <pic:spPr>
                    <a:xfrm>
                      <a:off x="0" y="0"/>
                      <a:ext cx="1895282" cy="1774490"/>
                    </a:xfrm>
                    <a:prstGeom prst="rect">
                      <a:avLst/>
                    </a:prstGeom>
                  </pic:spPr>
                </pic:pic>
              </a:graphicData>
            </a:graphic>
          </wp:inline>
        </w:drawing>
      </w:r>
    </w:p>
    <w:p w:rsidR="0014109D" w:rsidRPr="00C840D0" w:rsidRDefault="0014109D" w:rsidP="0014109D">
      <w:pPr>
        <w:rPr>
          <w:rFonts w:cs="Arial"/>
          <w:b/>
          <w:szCs w:val="20"/>
        </w:rPr>
      </w:pPr>
      <w:r w:rsidRPr="00C840D0">
        <w:rPr>
          <w:b/>
          <w:szCs w:val="20"/>
        </w:rPr>
        <w:t>Imagen 3:</w:t>
      </w:r>
    </w:p>
    <w:p w:rsidR="0014109D" w:rsidRPr="00C840D0" w:rsidRDefault="0014109D" w:rsidP="0014109D">
      <w:pPr>
        <w:rPr>
          <w:rFonts w:cs="Arial"/>
          <w:szCs w:val="20"/>
        </w:rPr>
      </w:pPr>
      <w:r w:rsidRPr="00C840D0">
        <w:t>Un juego de cables de gran longitud permite emplazar la fuente de potencia de soldadura fuera del cuerpo de la compuerta.</w:t>
      </w:r>
    </w:p>
    <w:p w:rsidR="0014109D" w:rsidRPr="00C840D0" w:rsidRDefault="0014109D" w:rsidP="0014109D">
      <w:pPr>
        <w:rPr>
          <w:rFonts w:cs="Arial"/>
          <w:szCs w:val="20"/>
        </w:rPr>
      </w:pPr>
    </w:p>
    <w:p w:rsidR="0014109D" w:rsidRPr="00C840D0" w:rsidRDefault="0014109D" w:rsidP="0014109D">
      <w:pPr>
        <w:rPr>
          <w:rFonts w:cs="Arial"/>
          <w:szCs w:val="20"/>
        </w:rPr>
      </w:pPr>
      <w:r w:rsidRPr="00C840D0">
        <w:rPr>
          <w:noProof/>
          <w:lang w:val="de-AT" w:eastAsia="de-AT"/>
        </w:rPr>
        <w:drawing>
          <wp:inline distT="0" distB="0" distL="0" distR="0" wp14:anchorId="633861AD" wp14:editId="050825A2">
            <wp:extent cx="1238257" cy="1676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245098" cy="1685662"/>
                    </a:xfrm>
                    <a:prstGeom prst="rect">
                      <a:avLst/>
                    </a:prstGeom>
                  </pic:spPr>
                </pic:pic>
              </a:graphicData>
            </a:graphic>
          </wp:inline>
        </w:drawing>
      </w:r>
    </w:p>
    <w:p w:rsidR="0014109D" w:rsidRPr="00C840D0" w:rsidRDefault="0014109D" w:rsidP="0014109D">
      <w:pPr>
        <w:rPr>
          <w:rFonts w:cs="Arial"/>
          <w:szCs w:val="20"/>
          <w:lang w:val="de-AT"/>
        </w:rPr>
      </w:pPr>
    </w:p>
    <w:p w:rsidR="0014109D" w:rsidRPr="00C840D0" w:rsidRDefault="0014109D" w:rsidP="0014109D">
      <w:pPr>
        <w:rPr>
          <w:rFonts w:cs="Arial"/>
          <w:szCs w:val="20"/>
        </w:rPr>
      </w:pPr>
      <w:r w:rsidRPr="00C840D0">
        <w:rPr>
          <w:noProof/>
          <w:lang w:val="de-AT" w:eastAsia="de-AT"/>
        </w:rPr>
        <w:drawing>
          <wp:inline distT="0" distB="0" distL="0" distR="0" wp14:anchorId="24986E07" wp14:editId="06C1C289">
            <wp:extent cx="1246791" cy="16573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1253086" cy="1665718"/>
                    </a:xfrm>
                    <a:prstGeom prst="rect">
                      <a:avLst/>
                    </a:prstGeom>
                  </pic:spPr>
                </pic:pic>
              </a:graphicData>
            </a:graphic>
          </wp:inline>
        </w:drawing>
      </w:r>
    </w:p>
    <w:p w:rsidR="0014109D" w:rsidRPr="00C840D0" w:rsidRDefault="0014109D" w:rsidP="0014109D">
      <w:pPr>
        <w:rPr>
          <w:rFonts w:cs="Arial"/>
          <w:b/>
          <w:szCs w:val="20"/>
        </w:rPr>
      </w:pPr>
      <w:r w:rsidRPr="00C840D0">
        <w:rPr>
          <w:b/>
          <w:szCs w:val="20"/>
        </w:rPr>
        <w:t>Imágenes 4 y 5:</w:t>
      </w:r>
    </w:p>
    <w:p w:rsidR="0014109D" w:rsidRPr="00C840D0" w:rsidRDefault="0014109D" w:rsidP="0014109D">
      <w:pPr>
        <w:rPr>
          <w:rFonts w:cs="Arial"/>
          <w:szCs w:val="20"/>
        </w:rPr>
      </w:pPr>
      <w:r w:rsidRPr="00C840D0">
        <w:t>Para que las piezas puedan montarse con precisión, los soldadores deben respetar unos límites de tolerancia milimétricos.</w:t>
      </w:r>
    </w:p>
    <w:p w:rsidR="00C724A2" w:rsidRPr="00C724A2" w:rsidRDefault="00C724A2" w:rsidP="00C724A2">
      <w:pPr>
        <w:rPr>
          <w:rFonts w:cs="Arial"/>
          <w:b/>
          <w:szCs w:val="20"/>
        </w:rPr>
      </w:pPr>
    </w:p>
    <w:p w:rsidR="00C724A2" w:rsidRPr="00C724A2" w:rsidRDefault="00C724A2" w:rsidP="00C724A2">
      <w:pPr>
        <w:rPr>
          <w:rFonts w:cs="Arial"/>
          <w:szCs w:val="20"/>
        </w:rPr>
      </w:pPr>
    </w:p>
    <w:p w:rsidR="00E03C0D" w:rsidRPr="00C724A2" w:rsidRDefault="00E03C0D" w:rsidP="00C724A2">
      <w:pPr>
        <w:rPr>
          <w:rFonts w:cs="Arial"/>
          <w:szCs w:val="20"/>
        </w:rPr>
      </w:pPr>
      <w:r w:rsidRPr="00C724A2">
        <w:rPr>
          <w:rFonts w:cs="Arial"/>
          <w:szCs w:val="20"/>
        </w:rPr>
        <w:t xml:space="preserve">Copyright de las fotografías: </w:t>
      </w:r>
      <w:proofErr w:type="spellStart"/>
      <w:r w:rsidRPr="00C724A2">
        <w:rPr>
          <w:rFonts w:cs="Arial"/>
          <w:szCs w:val="20"/>
        </w:rPr>
        <w:t>Fronius</w:t>
      </w:r>
      <w:proofErr w:type="spellEnd"/>
      <w:r w:rsidRPr="00C724A2">
        <w:rPr>
          <w:rFonts w:cs="Arial"/>
          <w:szCs w:val="20"/>
        </w:rPr>
        <w:t xml:space="preserve"> International </w:t>
      </w:r>
      <w:proofErr w:type="spellStart"/>
      <w:r w:rsidRPr="00C724A2">
        <w:rPr>
          <w:rFonts w:cs="Arial"/>
          <w:szCs w:val="20"/>
        </w:rPr>
        <w:t>GmbH</w:t>
      </w:r>
      <w:proofErr w:type="spellEnd"/>
      <w:r w:rsidRPr="00C724A2">
        <w:rPr>
          <w:rFonts w:cs="Arial"/>
          <w:szCs w:val="20"/>
        </w:rPr>
        <w:t>, reproducción sin costo</w:t>
      </w:r>
    </w:p>
    <w:p w:rsidR="00C724A2" w:rsidRPr="00C724A2" w:rsidRDefault="00C724A2" w:rsidP="00C724A2">
      <w:pPr>
        <w:rPr>
          <w:rFonts w:cs="Arial"/>
          <w:szCs w:val="20"/>
        </w:rPr>
      </w:pPr>
    </w:p>
    <w:p w:rsidR="00E03C0D" w:rsidRPr="00C724A2" w:rsidRDefault="00E03C0D" w:rsidP="00C724A2">
      <w:pPr>
        <w:rPr>
          <w:rFonts w:cs="Arial"/>
          <w:szCs w:val="20"/>
        </w:rPr>
      </w:pPr>
      <w:r w:rsidRPr="00C724A2">
        <w:rPr>
          <w:rFonts w:cs="Arial"/>
          <w:szCs w:val="20"/>
        </w:rPr>
        <w:t>Imágenes de alta resolución están disponibles para descargar del siguiente enlace</w:t>
      </w:r>
      <w:r w:rsidR="00463090" w:rsidRPr="00C724A2">
        <w:rPr>
          <w:rFonts w:cs="Arial"/>
          <w:szCs w:val="20"/>
        </w:rPr>
        <w:t>:</w:t>
      </w:r>
    </w:p>
    <w:p w:rsidR="00463090" w:rsidRPr="00C724A2" w:rsidRDefault="0014109D" w:rsidP="00C724A2">
      <w:pPr>
        <w:rPr>
          <w:rFonts w:cs="Arial"/>
          <w:szCs w:val="20"/>
        </w:rPr>
      </w:pPr>
      <w:hyperlink r:id="rId16" w:history="1">
        <w:r w:rsidR="00463090" w:rsidRPr="00C724A2">
          <w:rPr>
            <w:rStyle w:val="Hyperlink"/>
            <w:rFonts w:cs="Arial"/>
            <w:bCs/>
            <w:iCs/>
            <w:snapToGrid w:val="0"/>
            <w:szCs w:val="20"/>
            <w:lang w:val="pt-BR"/>
          </w:rPr>
          <w:t>www.fronius.com/en/welding-technology/infocentre/press</w:t>
        </w:r>
      </w:hyperlink>
    </w:p>
    <w:p w:rsidR="00E03C0D" w:rsidRPr="00C724A2" w:rsidRDefault="00E03C0D" w:rsidP="00C724A2">
      <w:pPr>
        <w:rPr>
          <w:rFonts w:cs="Arial"/>
          <w:b/>
          <w:szCs w:val="20"/>
        </w:rPr>
      </w:pPr>
    </w:p>
    <w:p w:rsidR="00E03C0D" w:rsidRPr="00C724A2" w:rsidRDefault="00E03C0D" w:rsidP="00C724A2">
      <w:pPr>
        <w:rPr>
          <w:rFonts w:cs="Arial"/>
          <w:b/>
          <w:szCs w:val="20"/>
        </w:rPr>
      </w:pPr>
    </w:p>
    <w:p w:rsidR="00E03C0D" w:rsidRPr="00C724A2" w:rsidRDefault="00E03C0D" w:rsidP="00C724A2">
      <w:pPr>
        <w:rPr>
          <w:rFonts w:cs="Arial"/>
          <w:szCs w:val="20"/>
        </w:rPr>
      </w:pPr>
      <w:r w:rsidRPr="00C724A2">
        <w:rPr>
          <w:rFonts w:cs="Arial"/>
          <w:b/>
          <w:szCs w:val="20"/>
        </w:rPr>
        <w:t xml:space="preserve">Unidad de Negocio </w:t>
      </w:r>
      <w:proofErr w:type="spellStart"/>
      <w:r w:rsidRPr="00C724A2">
        <w:rPr>
          <w:rFonts w:cs="Arial"/>
          <w:b/>
          <w:szCs w:val="20"/>
        </w:rPr>
        <w:t>Perfect</w:t>
      </w:r>
      <w:proofErr w:type="spellEnd"/>
      <w:r w:rsidRPr="00C724A2">
        <w:rPr>
          <w:rFonts w:cs="Arial"/>
          <w:b/>
          <w:szCs w:val="20"/>
        </w:rPr>
        <w:t xml:space="preserve"> </w:t>
      </w:r>
      <w:proofErr w:type="spellStart"/>
      <w:r w:rsidRPr="00C724A2">
        <w:rPr>
          <w:rFonts w:cs="Arial"/>
          <w:b/>
          <w:szCs w:val="20"/>
        </w:rPr>
        <w:t>Welding</w:t>
      </w:r>
      <w:proofErr w:type="spellEnd"/>
    </w:p>
    <w:p w:rsidR="00E03C0D" w:rsidRPr="00C724A2" w:rsidRDefault="00E03C0D" w:rsidP="00C724A2">
      <w:pPr>
        <w:rPr>
          <w:rFonts w:cs="Arial"/>
          <w:szCs w:val="20"/>
        </w:rPr>
      </w:pPr>
      <w:proofErr w:type="spellStart"/>
      <w:r w:rsidRPr="00C724A2">
        <w:rPr>
          <w:rFonts w:cs="Arial"/>
          <w:szCs w:val="20"/>
        </w:rPr>
        <w:t>Fronius</w:t>
      </w:r>
      <w:proofErr w:type="spellEnd"/>
      <w:r w:rsidRPr="00C724A2">
        <w:rPr>
          <w:rFonts w:cs="Arial"/>
          <w:szCs w:val="20"/>
        </w:rPr>
        <w:t xml:space="preserve"> </w:t>
      </w:r>
      <w:proofErr w:type="spellStart"/>
      <w:r w:rsidRPr="00C724A2">
        <w:rPr>
          <w:rFonts w:cs="Arial"/>
          <w:szCs w:val="20"/>
        </w:rPr>
        <w:t>Perfect</w:t>
      </w:r>
      <w:proofErr w:type="spellEnd"/>
      <w:r w:rsidRPr="00C724A2">
        <w:rPr>
          <w:rFonts w:cs="Arial"/>
          <w:szCs w:val="20"/>
        </w:rPr>
        <w:t xml:space="preserve"> </w:t>
      </w:r>
      <w:proofErr w:type="spellStart"/>
      <w:r w:rsidRPr="00C724A2">
        <w:rPr>
          <w:rFonts w:cs="Arial"/>
          <w:szCs w:val="20"/>
        </w:rPr>
        <w:t>Welding</w:t>
      </w:r>
      <w:proofErr w:type="spellEnd"/>
      <w:r w:rsidRPr="00C724A2">
        <w:rPr>
          <w:rFonts w:cs="Arial"/>
          <w:szCs w:val="20"/>
        </w:rPr>
        <w:t xml:space="preserve"> es el líder en innovación para soldadura por resistencia por puntos y arco voltaico, y es líder en el mercado global para soldadura robótica. Como proveedor de Sistemas. </w:t>
      </w:r>
      <w:proofErr w:type="spellStart"/>
      <w:r w:rsidRPr="00C724A2">
        <w:rPr>
          <w:rFonts w:cs="Arial"/>
          <w:szCs w:val="20"/>
        </w:rPr>
        <w:t>Fronius</w:t>
      </w:r>
      <w:proofErr w:type="spellEnd"/>
      <w:r w:rsidRPr="00C724A2">
        <w:rPr>
          <w:rFonts w:cs="Arial"/>
          <w:szCs w:val="20"/>
        </w:rPr>
        <w:t xml:space="preserve"> </w:t>
      </w:r>
      <w:proofErr w:type="spellStart"/>
      <w:r w:rsidRPr="00C724A2">
        <w:rPr>
          <w:rFonts w:cs="Arial"/>
          <w:szCs w:val="20"/>
        </w:rPr>
        <w:t>welding</w:t>
      </w:r>
      <w:proofErr w:type="spellEnd"/>
      <w:r w:rsidRPr="00C724A2">
        <w:rPr>
          <w:rFonts w:cs="Arial"/>
          <w:szCs w:val="20"/>
        </w:rPr>
        <w:t xml:space="preserve"> </w:t>
      </w:r>
      <w:proofErr w:type="spellStart"/>
      <w:r w:rsidRPr="00C724A2">
        <w:rPr>
          <w:rFonts w:cs="Arial"/>
          <w:szCs w:val="20"/>
        </w:rPr>
        <w:t>automation</w:t>
      </w:r>
      <w:proofErr w:type="spellEnd"/>
      <w:r w:rsidRPr="00C724A2">
        <w:rPr>
          <w:rFonts w:cs="Arial"/>
          <w:szCs w:val="20"/>
        </w:rPr>
        <w:t xml:space="preserve"> convierte las soluciones de soldadura automatizada específicas para el cliente en una realidad para diferentes áreas, desde la construcción de contenedores hasta el revestimiento para el sector offshore. Las fuentes de corriente para aplicaciones manuales, los accesorios de soldadura y un amplio rango de servicios adicionados a nuestra cartera. Con más de 1.000 distribuidores en todo el mundo, </w:t>
      </w:r>
      <w:proofErr w:type="spellStart"/>
      <w:r w:rsidRPr="00C724A2">
        <w:rPr>
          <w:rFonts w:cs="Arial"/>
          <w:szCs w:val="20"/>
        </w:rPr>
        <w:t>Fronius</w:t>
      </w:r>
      <w:proofErr w:type="spellEnd"/>
      <w:r w:rsidRPr="00C724A2">
        <w:rPr>
          <w:rFonts w:cs="Arial"/>
          <w:szCs w:val="20"/>
        </w:rPr>
        <w:t xml:space="preserve"> </w:t>
      </w:r>
      <w:proofErr w:type="spellStart"/>
      <w:r w:rsidRPr="00C724A2">
        <w:rPr>
          <w:rFonts w:cs="Arial"/>
          <w:szCs w:val="20"/>
        </w:rPr>
        <w:t>Perfect</w:t>
      </w:r>
      <w:proofErr w:type="spellEnd"/>
      <w:r w:rsidRPr="00C724A2">
        <w:rPr>
          <w:rFonts w:cs="Arial"/>
          <w:szCs w:val="20"/>
        </w:rPr>
        <w:t xml:space="preserve"> </w:t>
      </w:r>
      <w:proofErr w:type="spellStart"/>
      <w:r w:rsidRPr="00C724A2">
        <w:rPr>
          <w:rFonts w:cs="Arial"/>
          <w:szCs w:val="20"/>
        </w:rPr>
        <w:t>Welding</w:t>
      </w:r>
      <w:proofErr w:type="spellEnd"/>
      <w:r w:rsidRPr="00C724A2">
        <w:rPr>
          <w:rFonts w:cs="Arial"/>
          <w:szCs w:val="20"/>
        </w:rPr>
        <w:t xml:space="preserve"> siempre está cerca de sus clientes. </w:t>
      </w:r>
    </w:p>
    <w:p w:rsidR="00A7476E" w:rsidRPr="00C724A2" w:rsidRDefault="00A7476E" w:rsidP="00C724A2">
      <w:pPr>
        <w:rPr>
          <w:rFonts w:cs="Arial"/>
          <w:b/>
          <w:szCs w:val="20"/>
        </w:rPr>
      </w:pPr>
    </w:p>
    <w:p w:rsidR="00463090" w:rsidRPr="00C724A2" w:rsidRDefault="00463090" w:rsidP="00C724A2">
      <w:pPr>
        <w:rPr>
          <w:rFonts w:cs="Arial"/>
          <w:b/>
          <w:szCs w:val="20"/>
        </w:rPr>
      </w:pPr>
      <w:proofErr w:type="spellStart"/>
      <w:r w:rsidRPr="00C724A2">
        <w:rPr>
          <w:rFonts w:cs="Arial"/>
          <w:b/>
          <w:szCs w:val="20"/>
        </w:rPr>
        <w:t>Fronius</w:t>
      </w:r>
      <w:proofErr w:type="spellEnd"/>
      <w:r w:rsidRPr="00C724A2">
        <w:rPr>
          <w:rFonts w:cs="Arial"/>
          <w:b/>
          <w:szCs w:val="20"/>
        </w:rPr>
        <w:t xml:space="preserve"> International </w:t>
      </w:r>
      <w:proofErr w:type="spellStart"/>
      <w:r w:rsidRPr="00C724A2">
        <w:rPr>
          <w:rFonts w:cs="Arial"/>
          <w:b/>
          <w:szCs w:val="20"/>
        </w:rPr>
        <w:t>GmbH</w:t>
      </w:r>
      <w:proofErr w:type="spellEnd"/>
    </w:p>
    <w:p w:rsidR="00463090" w:rsidRPr="00C724A2" w:rsidRDefault="00463090" w:rsidP="00C724A2">
      <w:pPr>
        <w:rPr>
          <w:rFonts w:cs="Arial"/>
          <w:szCs w:val="20"/>
        </w:rPr>
      </w:pPr>
      <w:proofErr w:type="spellStart"/>
      <w:r w:rsidRPr="00C724A2">
        <w:rPr>
          <w:rFonts w:cs="Arial"/>
          <w:szCs w:val="20"/>
        </w:rPr>
        <w:t>Fronius</w:t>
      </w:r>
      <w:proofErr w:type="spellEnd"/>
      <w:r w:rsidRPr="00C724A2">
        <w:rPr>
          <w:rFonts w:cs="Arial"/>
          <w:szCs w:val="20"/>
        </w:rPr>
        <w:t xml:space="preserve"> International </w:t>
      </w:r>
      <w:proofErr w:type="spellStart"/>
      <w:r w:rsidRPr="00C724A2">
        <w:rPr>
          <w:rFonts w:cs="Arial"/>
          <w:szCs w:val="20"/>
        </w:rPr>
        <w:t>GmbH</w:t>
      </w:r>
      <w:proofErr w:type="spellEnd"/>
      <w:r w:rsidRPr="00C724A2">
        <w:rPr>
          <w:rFonts w:cs="Arial"/>
          <w:szCs w:val="20"/>
        </w:rPr>
        <w:t xml:space="preserve"> es una empresa austriaca con sede en </w:t>
      </w:r>
      <w:proofErr w:type="spellStart"/>
      <w:r w:rsidRPr="00C724A2">
        <w:rPr>
          <w:rFonts w:cs="Arial"/>
          <w:szCs w:val="20"/>
        </w:rPr>
        <w:t>Pettenbach</w:t>
      </w:r>
      <w:proofErr w:type="spellEnd"/>
      <w:r w:rsidRPr="00C724A2">
        <w:rPr>
          <w:rFonts w:cs="Arial"/>
          <w:szCs w:val="20"/>
        </w:rPr>
        <w:t xml:space="preserve"> e instalaciones en </w:t>
      </w:r>
      <w:proofErr w:type="spellStart"/>
      <w:r w:rsidRPr="00C724A2">
        <w:rPr>
          <w:rFonts w:cs="Arial"/>
          <w:szCs w:val="20"/>
        </w:rPr>
        <w:t>Wels</w:t>
      </w:r>
      <w:proofErr w:type="spellEnd"/>
      <w:r w:rsidRPr="00C724A2">
        <w:rPr>
          <w:rFonts w:cs="Arial"/>
          <w:szCs w:val="20"/>
        </w:rPr>
        <w:t xml:space="preserve">, </w:t>
      </w:r>
      <w:proofErr w:type="spellStart"/>
      <w:r w:rsidRPr="00C724A2">
        <w:rPr>
          <w:rFonts w:cs="Arial"/>
          <w:szCs w:val="20"/>
        </w:rPr>
        <w:t>Thalheim</w:t>
      </w:r>
      <w:proofErr w:type="spellEnd"/>
      <w:r w:rsidRPr="00C724A2">
        <w:rPr>
          <w:rFonts w:cs="Arial"/>
          <w:szCs w:val="20"/>
        </w:rPr>
        <w:t xml:space="preserve">, </w:t>
      </w:r>
      <w:proofErr w:type="spellStart"/>
      <w:r w:rsidRPr="00C724A2">
        <w:rPr>
          <w:rFonts w:cs="Arial"/>
          <w:szCs w:val="20"/>
        </w:rPr>
        <w:t>Steinhaus</w:t>
      </w:r>
      <w:proofErr w:type="spellEnd"/>
      <w:r w:rsidRPr="00C724A2">
        <w:rPr>
          <w:rFonts w:cs="Arial"/>
          <w:szCs w:val="20"/>
        </w:rPr>
        <w:t xml:space="preserve"> y</w:t>
      </w:r>
      <w:r w:rsidR="006F12E1">
        <w:rPr>
          <w:rFonts w:cs="Arial"/>
          <w:szCs w:val="20"/>
        </w:rPr>
        <w:t xml:space="preserve"> </w:t>
      </w:r>
      <w:proofErr w:type="spellStart"/>
      <w:r w:rsidR="006F12E1">
        <w:rPr>
          <w:rFonts w:cs="Arial"/>
          <w:szCs w:val="20"/>
        </w:rPr>
        <w:t>Sattledt</w:t>
      </w:r>
      <w:proofErr w:type="spellEnd"/>
      <w:r w:rsidR="006F12E1">
        <w:rPr>
          <w:rFonts w:cs="Arial"/>
          <w:szCs w:val="20"/>
        </w:rPr>
        <w:t xml:space="preserve">. La empresa con sus </w:t>
      </w:r>
      <w:r w:rsidR="00AB55E8">
        <w:rPr>
          <w:rFonts w:cs="Arial"/>
          <w:szCs w:val="20"/>
          <w:lang w:val="en-US"/>
        </w:rPr>
        <w:t>4.760</w:t>
      </w:r>
      <w:r w:rsidRPr="00C724A2">
        <w:rPr>
          <w:rFonts w:cs="Arial"/>
          <w:szCs w:val="20"/>
        </w:rPr>
        <w:t xml:space="preserve"> empleados a nivel global se dedica a los sectores de tecnología de soldadura, fotovoltaica y tecnología de carga de baterías. El porcentaje de exporta</w:t>
      </w:r>
      <w:r w:rsidR="006F12E1">
        <w:rPr>
          <w:rFonts w:cs="Arial"/>
          <w:szCs w:val="20"/>
        </w:rPr>
        <w:t>ción es de aproximadamente el 9</w:t>
      </w:r>
      <w:r w:rsidR="00AB55E8">
        <w:rPr>
          <w:rFonts w:cs="Arial"/>
          <w:szCs w:val="20"/>
        </w:rPr>
        <w:t>2</w:t>
      </w:r>
      <w:r w:rsidRPr="00C724A2">
        <w:rPr>
          <w:rFonts w:cs="Arial"/>
          <w:szCs w:val="20"/>
        </w:rPr>
        <w:t xml:space="preserve"> por ciento y se consigue gracias a las </w:t>
      </w:r>
      <w:r w:rsidR="006F12E1">
        <w:rPr>
          <w:rFonts w:cs="Arial"/>
          <w:szCs w:val="20"/>
        </w:rPr>
        <w:t>30</w:t>
      </w:r>
      <w:r w:rsidRPr="00C724A2">
        <w:rPr>
          <w:rFonts w:cs="Arial"/>
          <w:szCs w:val="20"/>
        </w:rPr>
        <w:t xml:space="preserve"> sociedades internacionales de </w:t>
      </w:r>
      <w:proofErr w:type="spellStart"/>
      <w:r w:rsidRPr="00C724A2">
        <w:rPr>
          <w:rFonts w:cs="Arial"/>
          <w:szCs w:val="20"/>
        </w:rPr>
        <w:t>Fronius</w:t>
      </w:r>
      <w:proofErr w:type="spellEnd"/>
      <w:r w:rsidRPr="00C724A2">
        <w:rPr>
          <w:rFonts w:cs="Arial"/>
          <w:szCs w:val="20"/>
        </w:rPr>
        <w:t xml:space="preserve"> y distribuidores/representantes en más de 60 países. </w:t>
      </w:r>
      <w:proofErr w:type="spellStart"/>
      <w:r w:rsidRPr="00C724A2">
        <w:rPr>
          <w:rFonts w:cs="Arial"/>
          <w:szCs w:val="20"/>
        </w:rPr>
        <w:t>Fronius</w:t>
      </w:r>
      <w:proofErr w:type="spellEnd"/>
      <w:r w:rsidRPr="00C724A2">
        <w:rPr>
          <w:rFonts w:cs="Arial"/>
          <w:szCs w:val="20"/>
        </w:rPr>
        <w:t xml:space="preserve"> es líder en innovación en el mercado mundial gracias a sus productos innovadores y</w:t>
      </w:r>
      <w:r w:rsidR="00AB55E8">
        <w:rPr>
          <w:rFonts w:cs="Arial"/>
          <w:szCs w:val="20"/>
        </w:rPr>
        <w:t xml:space="preserve"> servicios, así como a las 1.253</w:t>
      </w:r>
      <w:r w:rsidRPr="00C724A2">
        <w:rPr>
          <w:rFonts w:cs="Arial"/>
          <w:szCs w:val="20"/>
        </w:rPr>
        <w:t xml:space="preserve"> patentes concedidas.</w:t>
      </w:r>
    </w:p>
    <w:p w:rsidR="00463090" w:rsidRPr="00C724A2" w:rsidRDefault="00463090" w:rsidP="00C724A2">
      <w:pPr>
        <w:pStyle w:val="Textkrper2"/>
        <w:spacing w:after="0" w:line="240" w:lineRule="auto"/>
        <w:ind w:right="-254"/>
        <w:rPr>
          <w:rFonts w:cs="Arial"/>
          <w:szCs w:val="20"/>
        </w:rPr>
      </w:pPr>
    </w:p>
    <w:p w:rsidR="00463090" w:rsidRPr="00C724A2" w:rsidRDefault="00463090" w:rsidP="00C724A2">
      <w:pPr>
        <w:pStyle w:val="Textkrper2"/>
        <w:spacing w:after="0" w:line="240" w:lineRule="auto"/>
        <w:ind w:right="-254"/>
        <w:rPr>
          <w:rFonts w:cs="Arial"/>
          <w:i/>
          <w:iCs/>
          <w:szCs w:val="20"/>
        </w:rPr>
      </w:pPr>
    </w:p>
    <w:p w:rsidR="00463090" w:rsidRPr="00C724A2" w:rsidRDefault="00463090" w:rsidP="00C724A2">
      <w:pPr>
        <w:pStyle w:val="Textkrper2"/>
        <w:spacing w:after="0" w:line="240" w:lineRule="auto"/>
        <w:ind w:right="-254"/>
        <w:rPr>
          <w:rFonts w:cs="Arial"/>
          <w:i/>
          <w:iCs/>
          <w:szCs w:val="20"/>
        </w:rPr>
      </w:pPr>
    </w:p>
    <w:p w:rsidR="00113BC1" w:rsidRPr="00B46728" w:rsidRDefault="00113BC1" w:rsidP="00113BC1">
      <w:pPr>
        <w:autoSpaceDE w:val="0"/>
        <w:autoSpaceDN w:val="0"/>
        <w:adjustRightInd w:val="0"/>
        <w:rPr>
          <w:rFonts w:cs="Arial"/>
          <w:szCs w:val="20"/>
        </w:rPr>
      </w:pPr>
      <w:r w:rsidRPr="00B46728">
        <w:rPr>
          <w:rFonts w:cs="Arial"/>
          <w:b/>
          <w:iCs/>
          <w:noProof/>
          <w:szCs w:val="20"/>
        </w:rPr>
        <w:t>Para más información, por favor diríjase al:</w:t>
      </w:r>
      <w:r w:rsidRPr="00B46728">
        <w:rPr>
          <w:rFonts w:cs="Arial"/>
          <w:b/>
          <w:iCs/>
          <w:szCs w:val="20"/>
        </w:rPr>
        <w:br/>
      </w:r>
      <w:proofErr w:type="spellStart"/>
      <w:r w:rsidRPr="00B46728">
        <w:rPr>
          <w:rFonts w:cs="Arial"/>
          <w:szCs w:val="20"/>
        </w:rPr>
        <w:t>Fronius</w:t>
      </w:r>
      <w:proofErr w:type="spellEnd"/>
      <w:r w:rsidRPr="00B46728">
        <w:rPr>
          <w:rFonts w:cs="Arial"/>
          <w:szCs w:val="20"/>
        </w:rPr>
        <w:t xml:space="preserve"> España S.L.U., Laura González</w:t>
      </w:r>
    </w:p>
    <w:p w:rsidR="00113BC1" w:rsidRPr="00B46728" w:rsidRDefault="00113BC1" w:rsidP="00113BC1">
      <w:pPr>
        <w:autoSpaceDE w:val="0"/>
        <w:autoSpaceDN w:val="0"/>
        <w:adjustRightInd w:val="0"/>
        <w:rPr>
          <w:rFonts w:cs="Arial"/>
          <w:szCs w:val="20"/>
        </w:rPr>
      </w:pPr>
      <w:r>
        <w:rPr>
          <w:rFonts w:cs="Arial"/>
          <w:szCs w:val="20"/>
        </w:rPr>
        <w:t xml:space="preserve">Parque Empresarial La </w:t>
      </w:r>
      <w:proofErr w:type="spellStart"/>
      <w:r>
        <w:rPr>
          <w:rFonts w:cs="Arial"/>
          <w:szCs w:val="20"/>
        </w:rPr>
        <w:t>Carpetania</w:t>
      </w:r>
      <w:proofErr w:type="spellEnd"/>
      <w:r>
        <w:rPr>
          <w:rFonts w:cs="Arial"/>
          <w:szCs w:val="20"/>
        </w:rPr>
        <w:t>, c/ Miguel Faraday 2, 28906, Getafe (Madrid)</w:t>
      </w:r>
    </w:p>
    <w:p w:rsidR="00113BC1" w:rsidRPr="00B46728" w:rsidRDefault="00113BC1" w:rsidP="00113BC1">
      <w:pPr>
        <w:autoSpaceDE w:val="0"/>
        <w:autoSpaceDN w:val="0"/>
        <w:adjustRightInd w:val="0"/>
        <w:rPr>
          <w:rFonts w:cs="Arial"/>
          <w:szCs w:val="20"/>
        </w:rPr>
      </w:pPr>
      <w:r w:rsidRPr="00B46728">
        <w:rPr>
          <w:rFonts w:cs="Arial"/>
          <w:szCs w:val="20"/>
        </w:rPr>
        <w:t>Tel.:+34 (91) 649 60 40; Fax:+34 (91) 649 60 44</w:t>
      </w:r>
    </w:p>
    <w:p w:rsidR="00113BC1" w:rsidRPr="00B46728" w:rsidRDefault="00113BC1" w:rsidP="00113BC1">
      <w:pPr>
        <w:autoSpaceDE w:val="0"/>
        <w:autoSpaceDN w:val="0"/>
        <w:adjustRightInd w:val="0"/>
        <w:rPr>
          <w:rFonts w:cs="Arial"/>
          <w:szCs w:val="20"/>
        </w:rPr>
      </w:pPr>
      <w:r w:rsidRPr="00B46728">
        <w:rPr>
          <w:rFonts w:cs="Arial"/>
          <w:szCs w:val="20"/>
        </w:rPr>
        <w:t xml:space="preserve">Correo electrónico: </w:t>
      </w:r>
      <w:hyperlink r:id="rId17" w:history="1">
        <w:r w:rsidRPr="00B46728">
          <w:rPr>
            <w:rStyle w:val="Hyperlink"/>
            <w:rFonts w:cs="Arial"/>
            <w:szCs w:val="20"/>
          </w:rPr>
          <w:t>gonzalez.laura@fronius.com</w:t>
        </w:r>
      </w:hyperlink>
    </w:p>
    <w:p w:rsidR="00851B46" w:rsidRPr="00B46728" w:rsidRDefault="00851B46" w:rsidP="00851B46">
      <w:pPr>
        <w:autoSpaceDE w:val="0"/>
        <w:autoSpaceDN w:val="0"/>
        <w:adjustRightInd w:val="0"/>
        <w:rPr>
          <w:rFonts w:cs="Arial"/>
          <w:szCs w:val="20"/>
        </w:rPr>
      </w:pPr>
    </w:p>
    <w:p w:rsidR="00851B46" w:rsidRPr="00B46728" w:rsidRDefault="00851B46" w:rsidP="00851B46">
      <w:pPr>
        <w:autoSpaceDE w:val="0"/>
        <w:autoSpaceDN w:val="0"/>
        <w:adjustRightInd w:val="0"/>
        <w:rPr>
          <w:rFonts w:cs="Arial"/>
          <w:szCs w:val="20"/>
        </w:rPr>
      </w:pPr>
    </w:p>
    <w:p w:rsidR="00851B46" w:rsidRPr="00B46728" w:rsidRDefault="00851B46" w:rsidP="00851B46">
      <w:pPr>
        <w:autoSpaceDE w:val="0"/>
        <w:autoSpaceDN w:val="0"/>
        <w:adjustRightInd w:val="0"/>
        <w:rPr>
          <w:rFonts w:cs="Arial"/>
          <w:color w:val="000000"/>
          <w:szCs w:val="20"/>
        </w:rPr>
      </w:pPr>
    </w:p>
    <w:p w:rsidR="00851B46" w:rsidRPr="00B46728" w:rsidRDefault="00851B46" w:rsidP="00851B46">
      <w:pPr>
        <w:pStyle w:val="Textkrper2"/>
        <w:spacing w:after="0" w:line="240" w:lineRule="auto"/>
        <w:ind w:right="29"/>
        <w:rPr>
          <w:rFonts w:cs="Arial"/>
          <w:b/>
          <w:szCs w:val="20"/>
        </w:rPr>
      </w:pPr>
      <w:r w:rsidRPr="00B46728">
        <w:rPr>
          <w:rFonts w:cs="Arial"/>
          <w:b/>
          <w:szCs w:val="20"/>
        </w:rPr>
        <w:t>Por favor, envíe un ejemplar de prueba a nuestra agencia:</w:t>
      </w:r>
    </w:p>
    <w:p w:rsidR="00851B46" w:rsidRPr="00B46728" w:rsidRDefault="00851B46" w:rsidP="00851B46">
      <w:pPr>
        <w:pStyle w:val="Textkrper2"/>
        <w:spacing w:after="0" w:line="240" w:lineRule="auto"/>
        <w:ind w:right="29"/>
        <w:rPr>
          <w:rFonts w:cs="Arial"/>
          <w:szCs w:val="20"/>
          <w:lang w:val="de-DE"/>
        </w:rPr>
      </w:pPr>
      <w:r w:rsidRPr="00B46728">
        <w:rPr>
          <w:rFonts w:cs="Arial"/>
          <w:szCs w:val="20"/>
          <w:lang w:val="de-DE"/>
        </w:rPr>
        <w:t>a1kommunikation Schweizer GmbH, Señora Kirsten Ludwig,</w:t>
      </w:r>
    </w:p>
    <w:p w:rsidR="00851B46" w:rsidRPr="00B46728" w:rsidRDefault="00851B46" w:rsidP="00851B46">
      <w:pPr>
        <w:pStyle w:val="Textkrper2"/>
        <w:spacing w:after="0" w:line="240" w:lineRule="auto"/>
        <w:ind w:right="29"/>
        <w:rPr>
          <w:rFonts w:cs="Arial"/>
          <w:szCs w:val="20"/>
        </w:rPr>
      </w:pPr>
      <w:proofErr w:type="spellStart"/>
      <w:r w:rsidRPr="00B46728">
        <w:rPr>
          <w:rFonts w:cs="Arial"/>
          <w:szCs w:val="20"/>
        </w:rPr>
        <w:t>Oberdorfstraße</w:t>
      </w:r>
      <w:proofErr w:type="spellEnd"/>
      <w:r w:rsidRPr="00B46728">
        <w:rPr>
          <w:rFonts w:cs="Arial"/>
          <w:szCs w:val="20"/>
        </w:rPr>
        <w:t xml:space="preserve"> 31 A, D – 70794 </w:t>
      </w:r>
      <w:proofErr w:type="spellStart"/>
      <w:r w:rsidRPr="00B46728">
        <w:rPr>
          <w:rFonts w:cs="Arial"/>
          <w:szCs w:val="20"/>
        </w:rPr>
        <w:t>Filderstadt</w:t>
      </w:r>
      <w:proofErr w:type="spellEnd"/>
      <w:r w:rsidRPr="00B46728">
        <w:rPr>
          <w:rFonts w:cs="Arial"/>
          <w:szCs w:val="20"/>
        </w:rPr>
        <w:t>,</w:t>
      </w:r>
    </w:p>
    <w:p w:rsidR="00851B46" w:rsidRPr="00B46728" w:rsidRDefault="00851B46" w:rsidP="00851B46">
      <w:pPr>
        <w:rPr>
          <w:rFonts w:cs="Arial"/>
          <w:szCs w:val="20"/>
        </w:rPr>
      </w:pPr>
      <w:r w:rsidRPr="00B46728">
        <w:rPr>
          <w:rFonts w:cs="Arial"/>
          <w:szCs w:val="20"/>
        </w:rPr>
        <w:t xml:space="preserve">tel.: +49 (0)711 9454161-20, correo electrónico: </w:t>
      </w:r>
      <w:hyperlink r:id="rId18">
        <w:r w:rsidRPr="00B46728">
          <w:rPr>
            <w:rStyle w:val="Hyperlink"/>
            <w:rFonts w:cs="Arial"/>
            <w:szCs w:val="20"/>
          </w:rPr>
          <w:t>Kirsten.Ludwig@a1kommunikation.de</w:t>
        </w:r>
      </w:hyperlink>
    </w:p>
    <w:p w:rsidR="00851B46" w:rsidRPr="00B46728" w:rsidRDefault="00851B46" w:rsidP="00851B46">
      <w:pPr>
        <w:rPr>
          <w:rFonts w:cs="Arial"/>
        </w:rPr>
      </w:pPr>
    </w:p>
    <w:p w:rsidR="00E03C0D" w:rsidRDefault="00E03C0D" w:rsidP="00851B46">
      <w:pPr>
        <w:autoSpaceDE w:val="0"/>
        <w:autoSpaceDN w:val="0"/>
        <w:adjustRightInd w:val="0"/>
        <w:rPr>
          <w:rFonts w:cs="Arial"/>
          <w:szCs w:val="20"/>
        </w:rPr>
      </w:pPr>
    </w:p>
    <w:p w:rsidR="009E41CA" w:rsidRPr="00C724A2" w:rsidRDefault="009E41CA" w:rsidP="00851B46">
      <w:pPr>
        <w:autoSpaceDE w:val="0"/>
        <w:autoSpaceDN w:val="0"/>
        <w:adjustRightInd w:val="0"/>
        <w:rPr>
          <w:rFonts w:cs="Arial"/>
          <w:szCs w:val="20"/>
        </w:rPr>
      </w:pPr>
      <w:r w:rsidRPr="009E41CA">
        <w:rPr>
          <w:rFonts w:cs="Arial"/>
          <w:szCs w:val="20"/>
        </w:rPr>
        <w:t>¡Para leer otros artículos interesantes, visite nuestro blog en blog.perfectwelding.fronius.com y síganos en Facebook (</w:t>
      </w:r>
      <w:proofErr w:type="spellStart"/>
      <w:r w:rsidRPr="009E41CA">
        <w:rPr>
          <w:rFonts w:cs="Arial"/>
          <w:szCs w:val="20"/>
        </w:rPr>
        <w:t>froniuswelding</w:t>
      </w:r>
      <w:proofErr w:type="spellEnd"/>
      <w:r w:rsidRPr="009E41CA">
        <w:rPr>
          <w:rFonts w:cs="Arial"/>
          <w:szCs w:val="20"/>
        </w:rPr>
        <w:t>), Twitter (</w:t>
      </w:r>
      <w:proofErr w:type="spellStart"/>
      <w:r w:rsidRPr="009E41CA">
        <w:rPr>
          <w:rFonts w:cs="Arial"/>
          <w:szCs w:val="20"/>
        </w:rPr>
        <w:t>froniusintweld</w:t>
      </w:r>
      <w:proofErr w:type="spellEnd"/>
      <w:r w:rsidRPr="009E41CA">
        <w:rPr>
          <w:rFonts w:cs="Arial"/>
          <w:szCs w:val="20"/>
        </w:rPr>
        <w:t>), LinkedIn (</w:t>
      </w:r>
      <w:proofErr w:type="spellStart"/>
      <w:r w:rsidRPr="009E41CA">
        <w:rPr>
          <w:rFonts w:cs="Arial"/>
          <w:szCs w:val="20"/>
        </w:rPr>
        <w:t>perfect-welding</w:t>
      </w:r>
      <w:proofErr w:type="spellEnd"/>
      <w:r w:rsidRPr="009E41CA">
        <w:rPr>
          <w:rFonts w:cs="Arial"/>
          <w:szCs w:val="20"/>
        </w:rPr>
        <w:t>), Instagram (</w:t>
      </w:r>
      <w:proofErr w:type="spellStart"/>
      <w:r w:rsidRPr="009E41CA">
        <w:rPr>
          <w:rFonts w:cs="Arial"/>
          <w:szCs w:val="20"/>
        </w:rPr>
        <w:t>froniuswelding</w:t>
      </w:r>
      <w:proofErr w:type="spellEnd"/>
      <w:r w:rsidRPr="009E41CA">
        <w:rPr>
          <w:rFonts w:cs="Arial"/>
          <w:szCs w:val="20"/>
        </w:rPr>
        <w:t>) y YouTube (</w:t>
      </w:r>
      <w:proofErr w:type="spellStart"/>
      <w:r w:rsidRPr="009E41CA">
        <w:rPr>
          <w:rFonts w:cs="Arial"/>
          <w:szCs w:val="20"/>
        </w:rPr>
        <w:t>froniuswelding</w:t>
      </w:r>
      <w:proofErr w:type="spellEnd"/>
      <w:r w:rsidRPr="009E41CA">
        <w:rPr>
          <w:rFonts w:cs="Arial"/>
          <w:szCs w:val="20"/>
        </w:rPr>
        <w:t>)!</w:t>
      </w:r>
    </w:p>
    <w:sectPr w:rsidR="009E41CA" w:rsidRPr="00C724A2" w:rsidSect="00E03C0D">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5F5" w:rsidRDefault="008B75F5" w:rsidP="00E03C0D">
      <w:r>
        <w:separator/>
      </w:r>
    </w:p>
  </w:endnote>
  <w:endnote w:type="continuationSeparator" w:id="0">
    <w:p w:rsidR="008B75F5" w:rsidRDefault="008B75F5" w:rsidP="00E0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0D" w:rsidRPr="00E533E1" w:rsidRDefault="00E03C0D" w:rsidP="00E03C0D">
    <w:pPr>
      <w:tabs>
        <w:tab w:val="right" w:pos="10080"/>
      </w:tabs>
      <w:rPr>
        <w:sz w:val="16"/>
        <w:szCs w:val="16"/>
      </w:rPr>
    </w:pPr>
    <w:r>
      <w:rPr>
        <w:sz w:val="12"/>
      </w:rPr>
      <w:t>02/2018</w:t>
    </w:r>
    <w:r>
      <w:rPr>
        <w:sz w:val="16"/>
      </w:rPr>
      <w:tab/>
    </w:r>
    <w:r>
      <w:rPr>
        <w:sz w:val="16"/>
      </w:rPr>
      <w:fldChar w:fldCharType="begin"/>
    </w:r>
    <w:r>
      <w:rPr>
        <w:sz w:val="16"/>
      </w:rPr>
      <w:instrText xml:space="preserve"> PAGE </w:instrText>
    </w:r>
    <w:r>
      <w:rPr>
        <w:sz w:val="16"/>
      </w:rPr>
      <w:fldChar w:fldCharType="separate"/>
    </w:r>
    <w:r w:rsidR="0014109D">
      <w:rPr>
        <w:noProof/>
        <w:sz w:val="16"/>
      </w:rPr>
      <w:t>4</w:t>
    </w:r>
    <w:r>
      <w:rPr>
        <w:sz w:val="16"/>
      </w:rPr>
      <w:fldChar w:fldCharType="end"/>
    </w:r>
    <w:r>
      <w:rPr>
        <w:sz w:val="16"/>
      </w:rPr>
      <w:t>/</w:t>
    </w:r>
    <w:r>
      <w:rPr>
        <w:sz w:val="16"/>
      </w:rPr>
      <w:fldChar w:fldCharType="begin"/>
    </w:r>
    <w:r>
      <w:rPr>
        <w:sz w:val="16"/>
      </w:rPr>
      <w:instrText xml:space="preserve"> NUMPAGES </w:instrText>
    </w:r>
    <w:r>
      <w:rPr>
        <w:sz w:val="16"/>
      </w:rPr>
      <w:fldChar w:fldCharType="separate"/>
    </w:r>
    <w:r w:rsidR="0014109D">
      <w:rPr>
        <w:noProof/>
        <w:sz w:val="16"/>
      </w:rPr>
      <w:t>4</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5F5" w:rsidRDefault="008B75F5" w:rsidP="00E03C0D">
      <w:r>
        <w:separator/>
      </w:r>
    </w:p>
  </w:footnote>
  <w:footnote w:type="continuationSeparator" w:id="0">
    <w:p w:rsidR="008B75F5" w:rsidRDefault="008B75F5" w:rsidP="00E03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0D" w:rsidRDefault="0074050F">
    <w:r>
      <w:rPr>
        <w:noProof/>
        <w:lang w:val="de-AT" w:eastAsia="de-AT"/>
      </w:rPr>
      <w:drawing>
        <wp:anchor distT="0" distB="0" distL="114300" distR="114300" simplePos="0" relativeHeight="251657728" behindDoc="1" locked="0" layoutInCell="1" allowOverlap="1">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682030C2">
      <w:start w:val="1"/>
      <w:numFmt w:val="bullet"/>
      <w:lvlText w:val=""/>
      <w:lvlJc w:val="left"/>
      <w:pPr>
        <w:ind w:left="720" w:hanging="360"/>
      </w:pPr>
      <w:rPr>
        <w:rFonts w:ascii="Symbol" w:hAnsi="Symbol" w:hint="default"/>
      </w:rPr>
    </w:lvl>
    <w:lvl w:ilvl="1" w:tplc="CD305B20" w:tentative="1">
      <w:start w:val="1"/>
      <w:numFmt w:val="bullet"/>
      <w:lvlText w:val="o"/>
      <w:lvlJc w:val="left"/>
      <w:pPr>
        <w:ind w:left="1440" w:hanging="360"/>
      </w:pPr>
      <w:rPr>
        <w:rFonts w:ascii="Courier New" w:hAnsi="Courier New" w:cs="Courier New" w:hint="default"/>
      </w:rPr>
    </w:lvl>
    <w:lvl w:ilvl="2" w:tplc="44DC0646" w:tentative="1">
      <w:start w:val="1"/>
      <w:numFmt w:val="bullet"/>
      <w:lvlText w:val=""/>
      <w:lvlJc w:val="left"/>
      <w:pPr>
        <w:ind w:left="2160" w:hanging="360"/>
      </w:pPr>
      <w:rPr>
        <w:rFonts w:ascii="Wingdings" w:hAnsi="Wingdings" w:hint="default"/>
      </w:rPr>
    </w:lvl>
    <w:lvl w:ilvl="3" w:tplc="2CC27888" w:tentative="1">
      <w:start w:val="1"/>
      <w:numFmt w:val="bullet"/>
      <w:lvlText w:val=""/>
      <w:lvlJc w:val="left"/>
      <w:pPr>
        <w:ind w:left="2880" w:hanging="360"/>
      </w:pPr>
      <w:rPr>
        <w:rFonts w:ascii="Symbol" w:hAnsi="Symbol" w:hint="default"/>
      </w:rPr>
    </w:lvl>
    <w:lvl w:ilvl="4" w:tplc="95F08082" w:tentative="1">
      <w:start w:val="1"/>
      <w:numFmt w:val="bullet"/>
      <w:lvlText w:val="o"/>
      <w:lvlJc w:val="left"/>
      <w:pPr>
        <w:ind w:left="3600" w:hanging="360"/>
      </w:pPr>
      <w:rPr>
        <w:rFonts w:ascii="Courier New" w:hAnsi="Courier New" w:cs="Courier New" w:hint="default"/>
      </w:rPr>
    </w:lvl>
    <w:lvl w:ilvl="5" w:tplc="7146E514" w:tentative="1">
      <w:start w:val="1"/>
      <w:numFmt w:val="bullet"/>
      <w:lvlText w:val=""/>
      <w:lvlJc w:val="left"/>
      <w:pPr>
        <w:ind w:left="4320" w:hanging="360"/>
      </w:pPr>
      <w:rPr>
        <w:rFonts w:ascii="Wingdings" w:hAnsi="Wingdings" w:hint="default"/>
      </w:rPr>
    </w:lvl>
    <w:lvl w:ilvl="6" w:tplc="BE206272" w:tentative="1">
      <w:start w:val="1"/>
      <w:numFmt w:val="bullet"/>
      <w:lvlText w:val=""/>
      <w:lvlJc w:val="left"/>
      <w:pPr>
        <w:ind w:left="5040" w:hanging="360"/>
      </w:pPr>
      <w:rPr>
        <w:rFonts w:ascii="Symbol" w:hAnsi="Symbol" w:hint="default"/>
      </w:rPr>
    </w:lvl>
    <w:lvl w:ilvl="7" w:tplc="26166EFC" w:tentative="1">
      <w:start w:val="1"/>
      <w:numFmt w:val="bullet"/>
      <w:lvlText w:val="o"/>
      <w:lvlJc w:val="left"/>
      <w:pPr>
        <w:ind w:left="5760" w:hanging="360"/>
      </w:pPr>
      <w:rPr>
        <w:rFonts w:ascii="Courier New" w:hAnsi="Courier New" w:cs="Courier New" w:hint="default"/>
      </w:rPr>
    </w:lvl>
    <w:lvl w:ilvl="8" w:tplc="24B496A2"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113BC1"/>
    <w:rsid w:val="0014109D"/>
    <w:rsid w:val="001D223D"/>
    <w:rsid w:val="00260AD5"/>
    <w:rsid w:val="00281041"/>
    <w:rsid w:val="00463090"/>
    <w:rsid w:val="005A34DF"/>
    <w:rsid w:val="006F12E1"/>
    <w:rsid w:val="007054E2"/>
    <w:rsid w:val="0074050F"/>
    <w:rsid w:val="00851B46"/>
    <w:rsid w:val="008B75F5"/>
    <w:rsid w:val="00900436"/>
    <w:rsid w:val="009E41CA"/>
    <w:rsid w:val="00A7476E"/>
    <w:rsid w:val="00AB55E8"/>
    <w:rsid w:val="00C724A2"/>
    <w:rsid w:val="00CF4A3B"/>
    <w:rsid w:val="00E03C0D"/>
    <w:rsid w:val="00EE57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2458BB30-2A3B-4E74-AD67-3B560743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val="es-MX" w:eastAsia="es-MX"/>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s-MX" w:eastAsia="es-MX"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s-MX" w:eastAsia="es-MX" w:bidi="ar-SA"/>
    </w:rPr>
  </w:style>
  <w:style w:type="character" w:styleId="Hyperlink">
    <w:name w:val="Hyperlink"/>
    <w:uiPriority w:val="99"/>
    <w:rsid w:val="007054E2"/>
    <w:rPr>
      <w:color w:val="0000FF"/>
      <w:u w:val="single"/>
      <w:lang w:val="es-MX" w:eastAsia="es-MX"/>
    </w:rPr>
  </w:style>
  <w:style w:type="paragraph" w:styleId="Textkrper">
    <w:name w:val="Body Text"/>
    <w:basedOn w:val="Standard"/>
    <w:link w:val="TextkrperZchn"/>
    <w:unhideWhenUsed/>
    <w:rsid w:val="007054E2"/>
    <w:rPr>
      <w:rFonts w:ascii="Courier New" w:eastAsia="Times New Roman" w:hAnsi="Courier New"/>
      <w:sz w:val="24"/>
      <w:szCs w:val="20"/>
    </w:rPr>
  </w:style>
  <w:style w:type="character" w:customStyle="1" w:styleId="TextkrperZchn">
    <w:name w:val="Textkörper Zchn"/>
    <w:link w:val="Textkrper"/>
    <w:rsid w:val="007054E2"/>
    <w:rPr>
      <w:rFonts w:ascii="Courier New" w:eastAsia="Times New Roman" w:hAnsi="Courier New"/>
      <w:sz w:val="24"/>
      <w:lang w:val="es-MX" w:eastAsia="es-MX"/>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val="es-MX" w:eastAsia="es-MX"/>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es-MX" w:eastAsia="es-MX"/>
    </w:rPr>
  </w:style>
  <w:style w:type="character" w:styleId="Fett">
    <w:name w:val="Strong"/>
    <w:qFormat/>
    <w:rsid w:val="00FF591F"/>
    <w:rPr>
      <w:b/>
      <w:bCs/>
      <w:lang w:val="es-MX" w:eastAsia="es-MX"/>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val="es-MX" w:eastAsia="es-MX"/>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val="es-MX" w:eastAsia="es-MX"/>
    </w:rPr>
  </w:style>
  <w:style w:type="character" w:styleId="Funotenzeichen">
    <w:name w:val="footnote reference"/>
    <w:rsid w:val="00BA67A4"/>
    <w:rPr>
      <w:vertAlign w:val="superscript"/>
      <w:lang w:val="es-MX" w:eastAsia="es-MX"/>
    </w:rPr>
  </w:style>
  <w:style w:type="character" w:customStyle="1" w:styleId="BesuchterLink">
    <w:name w:val="BesuchterLink"/>
    <w:rsid w:val="00EE5573"/>
    <w:rPr>
      <w:color w:val="800080"/>
      <w:u w:val="single"/>
      <w:lang w:val="es-MX" w:eastAsia="es-MX"/>
    </w:rPr>
  </w:style>
  <w:style w:type="character" w:styleId="Kommentarzeichen">
    <w:name w:val="annotation reference"/>
    <w:uiPriority w:val="99"/>
    <w:rsid w:val="007F4338"/>
    <w:rPr>
      <w:sz w:val="16"/>
      <w:szCs w:val="16"/>
      <w:lang w:val="es-MX" w:eastAsia="es-MX"/>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val="es-MX" w:eastAsia="es-MX"/>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val="es-MX" w:eastAsia="es-MX"/>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val="es-MX" w:eastAsia="es-MX"/>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11980">
      <w:bodyDiv w:val="1"/>
      <w:marLeft w:val="0"/>
      <w:marRight w:val="0"/>
      <w:marTop w:val="0"/>
      <w:marBottom w:val="0"/>
      <w:divBdr>
        <w:top w:val="none" w:sz="0" w:space="0" w:color="auto"/>
        <w:left w:val="none" w:sz="0" w:space="0" w:color="auto"/>
        <w:bottom w:val="none" w:sz="0" w:space="0" w:color="auto"/>
        <w:right w:val="none" w:sz="0" w:space="0" w:color="auto"/>
      </w:divBdr>
    </w:div>
    <w:div w:id="213053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1.wdp"/><Relationship Id="rId18" Type="http://schemas.openxmlformats.org/officeDocument/2006/relationships/hyperlink" Target="mailto:Kirsten.Ludwig@a1kommunikation.de"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gonzalez.laura@fronius.com" TargetMode="Externa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http://www.fronius.com/en/welding-technology/infocentre/pr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Alkalmazási jelentés</Documenttype_HU>
    <Documenttype_SK xmlns="dc0c2c3d-e9fc-4a0d-820b-87ab82e65f20">Správa o použití</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dd4c9c45-94c3-4cf4-ab9c-523f2b58f76e</TermId>
        </TermInfo>
      </Terms>
    </k62430406562456c9289cb18a9752f33>
    <title_TI_DE xmlns="dc0c2c3d-e9fc-4a0d-820b-87ab82e65f20">Bilfinger 2019</title_TI_DE>
    <Documenttype_PT xmlns="dc0c2c3d-e9fc-4a0d-820b-87ab82e65f20">Relatório de aplicação</Documenttype_PT>
    <Documenttype_RU xmlns="dc0c2c3d-e9fc-4a0d-820b-87ab82e65f20">История применения</Documenttype_RU>
    <title_TI_TR xmlns="dc0c2c3d-e9fc-4a0d-820b-87ab82e65f20">Bilfinger 2019</title_TI_TR>
    <title_TI_NO xmlns="dc0c2c3d-e9fc-4a0d-820b-87ab82e65f20">Bilfinger 2019</title_TI_NO>
    <icfaae38c4274413b390559439863f3e xmlns="dc0c2c3d-e9fc-4a0d-820b-87ab82e65f20">
      <Terms xmlns="http://schemas.microsoft.com/office/infopath/2007/PartnerControls"/>
    </icfaae38c4274413b390559439863f3e>
    <Documenttype_CS xmlns="dc0c2c3d-e9fc-4a0d-820b-87ab82e65f20">Případová studie</Documenttype_CS>
    <title_TI_TH xmlns="dc0c2c3d-e9fc-4a0d-820b-87ab82e65f20">Bilfinger 2019</title_TI_TH>
    <Documenttype_AR xmlns="dc0c2c3d-e9fc-4a0d-820b-87ab82e65f20">Application Story</Documenttype_AR>
    <Licence_x0020_information xmlns="dc0c2c3d-e9fc-4a0d-820b-87ab82e65f20">(c) Fronius International</Licence_x0020_information>
    <title_TI_EA xmlns="dc0c2c3d-e9fc-4a0d-820b-87ab82e65f20">Bilfinger 2019</title_TI_EA>
    <_dlc_DocId xmlns="92f60987-cbcc-4245-baaf-239af3bfd6e8">3457UUQQYVA2-1576582820-10513</_dlc_DocId>
    <TitelInternal xmlns="dc0c2c3d-e9fc-4a0d-820b-87ab82e65f20" xsi:nil="true"/>
    <Documenttype_NO xmlns="dc0c2c3d-e9fc-4a0d-820b-87ab82e65f20">Bruksrapport</Documenttype_NO>
    <Documenttype_DE xmlns="dc0c2c3d-e9fc-4a0d-820b-87ab82e65f20">Anwendungsbericht</Documenttype_DE>
    <title_TI_DA xmlns="dc0c2c3d-e9fc-4a0d-820b-87ab82e65f20">Bilfinger 2019</title_TI_DA>
    <Documenttype_TR xmlns="dc0c2c3d-e9fc-4a0d-820b-87ab82e65f20">Kullanım raporu</Documenttype_TR>
    <title_TI_PL xmlns="dc0c2c3d-e9fc-4a0d-820b-87ab82e65f20">Bilfinger 2019</title_TI_PL>
    <Documenttype_TH xmlns="dc0c2c3d-e9fc-4a0d-820b-87ab82e65f20">เรื่องราวการใช้งาน</Documenttype_TH>
    <title_TI_EL xmlns="dc0c2c3d-e9fc-4a0d-820b-87ab82e65f20">Bilfinger 2019</title_TI_EL>
    <Documenttype_EA xmlns="dc0c2c3d-e9fc-4a0d-820b-87ab82e65f20">Application Story</Documenttype_EA>
    <title_TI_PT xmlns="dc0c2c3d-e9fc-4a0d-820b-87ab82e65f20">Bilfinger 2019</title_TI_PT>
    <Web_x0020_Display_x0020_Title_x0020_ET xmlns="dc0c2c3d-e9fc-4a0d-820b-87ab82e65f20">Bilfinger 2019</Web_x0020_Display_x0020_Title_x0020_ET>
    <Country xmlns="dc0c2c3d-e9fc-4a0d-820b-87ab82e65f20">
      <Value>28</Value>
      <Value>38</Value>
    </Country>
    <title_TI_RU xmlns="dc0c2c3d-e9fc-4a0d-820b-87ab82e65f20">Bilfinger 2019</title_TI_RU>
    <fro_spid xmlns="dc0c2c3d-e9fc-4a0d-820b-87ab82e65f20">10513;PW </fro_spid>
    <Resolution xmlns="dc0c2c3d-e9fc-4a0d-820b-87ab82e65f20" xsi:nil="true"/>
    <Division xmlns="dc0c2c3d-e9fc-4a0d-820b-87ab82e65f20">Perfect Welding</Division>
    <Documenttype_JA xmlns="dc0c2c3d-e9fc-4a0d-820b-87ab82e65f20">アプリケーションストーリー</Documenttype_JA>
    <title_TI_CS xmlns="dc0c2c3d-e9fc-4a0d-820b-87ab82e65f20">Bilfinger 2019</title_TI_CS>
    <title_TI_AR xmlns="dc0c2c3d-e9fc-4a0d-820b-87ab82e65f20">Bilfinger 2019</title_TI_AR>
    <Colour_x0020_space xmlns="dc0c2c3d-e9fc-4a0d-820b-87ab82e65f20" xsi:nil="true"/>
    <Documenttype_EN xmlns="dc0c2c3d-e9fc-4a0d-820b-87ab82e65f20">Application Story</Documenttype_EN>
    <Documenttype_ES xmlns="dc0c2c3d-e9fc-4a0d-820b-87ab82e65f20">Informe de aplicación</Documenttype_ES>
    <title_TI_CN xmlns="dc0c2c3d-e9fc-4a0d-820b-87ab82e65f20" xsi:nil="true"/>
    <title_TI_FR xmlns="dc0c2c3d-e9fc-4a0d-820b-87ab82e65f20">Bilfinger 2019</title_TI_FR>
    <Documenttype_DA xmlns="dc0c2c3d-e9fc-4a0d-820b-87ab82e65f20">Anvendelsesrapporter</Documenttype_DA>
    <DocArticleNumber xmlns="dc0c2c3d-e9fc-4a0d-820b-87ab82e65f20" xsi:nil="true"/>
    <countryok xmlns="dc0c2c3d-e9fc-4a0d-820b-87ab82e65f20">true</countryok>
    <ArticleNumber xmlns="dc0c2c3d-e9fc-4a0d-820b-87ab82e65f20" xsi:nil="true"/>
    <Documenttype_PL xmlns="dc0c2c3d-e9fc-4a0d-820b-87ab82e65f20">Raport dotyczący zastosowania</Documenttype_PL>
    <VersionInternal xmlns="dc0c2c3d-e9fc-4a0d-820b-87ab82e65f20">0</VersionInternal>
    <Update xmlns="dc0c2c3d-e9fc-4a0d-820b-87ab82e65f20">150620</Update>
    <title_TI_NL xmlns="dc0c2c3d-e9fc-4a0d-820b-87ab82e65f20">Bilfinger 2019</title_TI_NL>
    <_dlc_DocIdUrl xmlns="92f60987-cbcc-4245-baaf-239af3bfd6e8">
      <Url>https://downloads.fronius.com/_layouts/15/DocIdRedir.aspx?ID=3457UUQQYVA2-1576582820-10513</Url>
      <Description>3457UUQQYVA2-1576582820-10513</Description>
    </_dlc_DocIdUrl>
    <FileMaster xmlns="dc0c2c3d-e9fc-4a0d-820b-87ab82e65f20">M-136510</FileMaster>
    <FSM xmlns="dc0c2c3d-e9fc-4a0d-820b-87ab82e65f20">false</FSM>
    <title_TI_IT xmlns="dc0c2c3d-e9fc-4a0d-820b-87ab82e65f20">Bilfinger 2019</title_TI_IT>
    <Documenttype_EL xmlns="dc0c2c3d-e9fc-4a0d-820b-87ab82e65f20">Έκθεση εφαρμογής</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Rapport d’utilisation</Documenttype_FR>
    <title_TI_UA xmlns="dc0c2c3d-e9fc-4a0d-820b-87ab82e65f20">Bilfinger 2019</title_TI_UA>
    <title_TI_JP xmlns="dc0c2c3d-e9fc-4a0d-820b-87ab82e65f20">Bilfinger 2019</title_TI_JP>
    <Documenttype_NL xmlns="dc0c2c3d-e9fc-4a0d-820b-87ab82e65f20">Toepassingsrapport</Documenttype_NL>
    <Documenttype_NB xmlns="dc0c2c3d-e9fc-4a0d-820b-87ab82e65f20">Bruksrapport</Documenttype_NB>
    <title_ti_nb xmlns="dc0c2c3d-e9fc-4a0d-820b-87ab82e65f20">Bilfinger 2019</title_ti_nb>
    <title_TI_ES xmlns="dc0c2c3d-e9fc-4a0d-820b-87ab82e65f20">Bilfinger 2019</title_TI_ES>
    <title_TI_JA xmlns="dc0c2c3d-e9fc-4a0d-820b-87ab82e65f20">Bilfinger 2019</title_TI_JA>
    <Documenttype_IT xmlns="dc0c2c3d-e9fc-4a0d-820b-87ab82e65f20">Rapporto sull'applicazione</Documenttype_IT>
    <TaxCatchAll xmlns="92f60987-cbcc-4245-baaf-239af3bfd6e8">
      <Value>259</Value>
    </TaxCatchAll>
    <AGB xmlns="dc0c2c3d-e9fc-4a0d-820b-87ab82e65f20">false</AGB>
    <title_TI_EN xmlns="dc0c2c3d-e9fc-4a0d-820b-87ab82e65f20">Bilfinger 2019</title_TI_EN>
    <Documenttype_ZH xmlns="dc0c2c3d-e9fc-4a0d-820b-87ab82e65f20">Application Story</Documenttype_ZH>
    <MRMKeyWords xmlns="dc0c2c3d-e9fc-4a0d-820b-87ab82e65f20">#kraftwerksbau#powerplantconstruction#pullmig#tps500i#bilfinger#anwenderreportage#applicationstory</MRMKeyWords>
    <title_ti_zh xmlns="dc0c2c3d-e9fc-4a0d-820b-87ab82e65f20">Bilfinger 2019</title_ti_zh>
    <MRMID xmlns="dc0c2c3d-e9fc-4a0d-820b-87ab82e65f20">M-136534</MRMID>
    <Documenttype_UK xmlns="dc0c2c3d-e9fc-4a0d-820b-87ab82e65f20">Історія застосування</Documenttype_UK>
    <title_TI_SK xmlns="dc0c2c3d-e9fc-4a0d-820b-87ab82e65f20">Bilfinger 2019</title_TI_SK>
    <Documenttype_UA xmlns="dc0c2c3d-e9fc-4a0d-820b-87ab82e65f20">Історія застосування</Documenttype_UA>
    <title_TI_HU xmlns="dc0c2c3d-e9fc-4a0d-820b-87ab82e65f20">Bilfinger 2019</title_TI_HU>
    <Country_x0020_Quick_x0020_Select xmlns="dc0c2c3d-e9fc-4a0d-820b-87ab82e65f20">Select...</Country_x0020_Quick_x0020_Select>
    <title_ti_uk xmlns="dc0c2c3d-e9fc-4a0d-820b-87ab82e65f20">Bilfinger 2019</title_ti_uk>
    <title_TI_SV xmlns="dc0c2c3d-e9fc-4a0d-820b-87ab82e65f20">Bilfinger 2019</title_TI_SV>
    <download-count xmlns="dc0c2c3d-e9fc-4a0d-820b-87ab82e65f20" xsi:nil="true"/>
    <title_ti_fi xmlns="dc0c2c3d-e9fc-4a0d-820b-87ab82e65f20">Bilfinger 2019</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FFD899AF-936B-4EDE-957B-7DBB6999466F}">
  <ds:schemaRefs>
    <ds:schemaRef ds:uri="http://schemas.openxmlformats.org/officeDocument/2006/bibliography"/>
  </ds:schemaRefs>
</ds:datastoreItem>
</file>

<file path=customXml/itemProps2.xml><?xml version="1.0" encoding="utf-8"?>
<ds:datastoreItem xmlns:ds="http://schemas.openxmlformats.org/officeDocument/2006/customXml" ds:itemID="{C9771174-424A-4C38-9A33-B0E83851C24D}"/>
</file>

<file path=customXml/itemProps3.xml><?xml version="1.0" encoding="utf-8"?>
<ds:datastoreItem xmlns:ds="http://schemas.openxmlformats.org/officeDocument/2006/customXml" ds:itemID="{5A25630C-1058-4722-99A8-6836C5781EC7}"/>
</file>

<file path=customXml/itemProps4.xml><?xml version="1.0" encoding="utf-8"?>
<ds:datastoreItem xmlns:ds="http://schemas.openxmlformats.org/officeDocument/2006/customXml" ds:itemID="{B710214C-8FE1-45AE-9A62-3457C340D922}"/>
</file>

<file path=customXml/itemProps5.xml><?xml version="1.0" encoding="utf-8"?>
<ds:datastoreItem xmlns:ds="http://schemas.openxmlformats.org/officeDocument/2006/customXml" ds:itemID="{A32B5ED7-5882-4FDA-A348-2CF31F4B5A50}"/>
</file>

<file path=customXml/itemProps6.xml><?xml version="1.0" encoding="utf-8"?>
<ds:datastoreItem xmlns:ds="http://schemas.openxmlformats.org/officeDocument/2006/customXml" ds:itemID="{64E0A5FE-A0E9-4836-81AA-6D9FF982EC26}"/>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1504</Words>
  <Characters>8523</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
  <LinksUpToDate>false</LinksUpToDate>
  <CharactersWithSpaces>10007</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3801153</vt:i4>
      </vt:variant>
      <vt:variant>
        <vt:i4>3</vt:i4>
      </vt:variant>
      <vt:variant>
        <vt:i4>0</vt:i4>
      </vt:variant>
      <vt:variant>
        <vt:i4>5</vt:i4>
      </vt:variant>
      <vt:variant>
        <vt:lpwstr>mailto:gonzalez.laura@fronius.com</vt:lpwstr>
      </vt:variant>
      <vt:variant>
        <vt:lpwstr/>
      </vt:variant>
      <vt:variant>
        <vt:i4>1310737</vt:i4>
      </vt:variant>
      <vt:variant>
        <vt:i4>0</vt:i4>
      </vt:variant>
      <vt:variant>
        <vt:i4>0</vt:i4>
      </vt:variant>
      <vt:variant>
        <vt:i4>5</vt:i4>
      </vt:variant>
      <vt:variant>
        <vt:lpwstr>http://www.fronius.com/en/welding-technology/infocentre/press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PW_AST_Bilfinger_ES</dc:title>
  <dc:subject/>
  <dc:creator>Demirok Fidan</dc:creator>
  <cp:keywords/>
  <cp:lastModifiedBy>Doppler Leonie</cp:lastModifiedBy>
  <cp:revision>3</cp:revision>
  <cp:lastPrinted>2016-07-21T12:13:00Z</cp:lastPrinted>
  <dcterms:created xsi:type="dcterms:W3CDTF">2019-04-29T13:48:00Z</dcterms:created>
  <dcterms:modified xsi:type="dcterms:W3CDTF">2019-12-09T11:16:00Z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Products">
    <vt:lpwstr/>
  </property>
  <property fmtid="{D5CDD505-2E9C-101B-9397-08002B2CF9AE}" pid="6" name="_dlc_DocIdItemGuid">
    <vt:lpwstr>60aaa78d-5fc1-48ef-ae4c-a410988b853a</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2c692d36-6149-4b8e-a2cf-c0184254e2f3,3;2c692d36-6149-4b8e-a2cf-c0184254e2f3,3;2c692d36-6149-4b8e-a2cf-c0184254e2f3,3;2c692d36-6149-4b8e-a2cf-c0184254e2f3,3;2c692d36-6149-4b8e-a2cf-c0184254e2f3,3;2c692d36-6149-4b8e-a2cf-c0184254e2f3,3;2c692d36-6149-4b8e-a2cf-c0184254e2f3,3;2c692d36-6149-4b8e-a2cf-c0184254e2f3,3;2c692d36-6149-4b8e-a2cf-c0184254e2f3,3;2c692d36-6149-4b8e-a2cf-c0184254e2f3,3;2c692d36-6149-4b8e-a2cf-c0184254e2f3,3;2c692d36-6149-4b8e-a2cf-c0184254e2f3,3;2c692d36-6149-4b8e-a2cf-c0184254e2f3,3;2c692d36-6149-4b8e-a2cf-c0184254e2f3,3;2c692d36-6149-4b8e-a2cf-c0184254e2f3,3;2c692d36-6149-4b8e-a2cf-c0184254e2f3,3;2c692d36-6149-4b8e-a2cf-c0184254e2f3,3;2c692d36-6149-4b8e-a2cf-c0184254e2f3,3;2c692d36-6149-4b8e-a2cf-c0184254e2f3,3;2c692d36-6149-4b8e-a2cf-c0184254e2f3,3;2c692d36-6149-4b8e-a2cf-c0184254e2f3,3;2c692d36-6149-4b8e-a2cf-c0184254e2f3,3;2c692d36-6149-4b8e-a2cf-c0184254e2f3,3;2c692d36-6149-4b8e-a2cf-c0184254e2f3,3;2c692d36-6149-4b8e-a2cf-c0184254e2f3,3;beb323fc-0212-4837-8558-f431e1d953f5,32;beb323fc-0212-4837-8558-f431e1d953f5,36;beb323fc-0212-4837-8558-f431e1d953f5,41;beb323fc-0212-4837-8558-f431e1d953f5,44;beb323fc-0212-4837-8558-f431e1d953f5,48;f23899af-90e5-4213-b122-4e07c0f837c2,52;f23899af-90e5-4213-b122-4e07c0f837c2,56;f23899af-90e5-4213-b122-4e07c0f837c2,60;f23899af-90e5-4213-b122-4e07c0f837c2,64;f23899af-90e5-4213-b122-4e07c0f837c2,69;f23899af-90e5-4213-b122-4e07c0f837c2,72;f23899af-90e5-4213-b122-4e07c0f837c2,76;f23899af-90e5-4213-b122-4e07c0f837c2,80;f23899af-90e5-4213-b122-4e07c0f837c2,83;f23899af-90e5-4213-b122-4e07c0f837c2,86;f23899af-90e5-4213-b122-4e07c0f837c2,89;f23899af-90e5-4213-b122-4e07c0f837c2,92;f23899af-90e5-4213-b122-4e07c0f837c2,96;f23899af-90e5-4213-b122-4e07c0f837c2,99;f23899af-90e5-4213-b122-4e07c0f837c2,102;f23899af-90e5-4213-b122-4e07c0f837c2,105;f23899af-90e5-4213-b122-4e07c0f837c2,109;f23899af-90e5-4213-b122-4e07c0f837c2,112;f23899af-90e5-4213-b122-4e07c0f837c2,116;f23899af-90e5-4213-b122-4e07c0f837c2,120;f23899af-90e5-4213-b122-4e07c0f837c2,123;f23899af-90e5-4213-b122-4e07c0f837c2,127;f23899af-90e5-4213-b122-4e07c0f837c2,130;f23899af-90e5-4213-b122-4e07c0f837c2,133;f23899af-90e5-4213-b122-4e07c0f837c2,136;f23899af-90e5-4213-b122-4e07c0f837c2,140;f23899af-90e5-4213-b122-4e07c0f837c2,143;f23899af-90e5-4213-b122-4e07c0f837c2,147;f23899af-90e5-4213-b122-4e07c0f837c2,151;f23899af-90e5-4213-b122-4e07c0f837c2,154;f23899af-90e5-4213-b122-4e07c0f837c2,157;f23899af-90e5-4213-b122-4e07c0f837c2,161;f23899af-90e5-4213-b122-4e07c0f837c2,164;f23899af-90e5-4213-b122-4e07c0f837c2,168;f23899af-90e5-4213-b122-4e07c0f837c2,171;f23899af-90e5-4213-b122-4e07c0f837c2,174;f23899af-90e5-4213-b122-4e07c0f837c2,177;a8dd0ddf-bfd4-44dd-a6bb-0c3c9675194c,180;a8dd0ddf-bfd4-44dd-a6bb-0c3c9675194c,180;0b69803e-5fed-4f4d-9d44-b1b3d75cd954,184;0b69803e-5fed-4f4d-9d44-b1b3d75cd954,184;0b69803e-5fed-4f4d-9d44-b1b3d75cd954,188;0b69803e-5fed-4f4d-9d44-b1b3d75cd954,192;84063e84-3b90-4264-9d91-20c80f9713f8,266;84063e84-3b90-4264-9d91-20c80f9713f8,266;84063e84-3b90-4264-9d91-20c80f9713f8,270;84063e84-3b90-4264-9d91-20c80f9713f8,275;84063e84-3b90-4264-9d91-20c80f9713f8,279;84063e84-3b90-4264-9d91-20c80f9713f8,289;84063e84-3b90-4264-9d91-20c80f9713f8,293;</vt:lpwstr>
  </property>
  <property fmtid="{D5CDD505-2E9C-101B-9397-08002B2CF9AE}" pid="10" name="Web Display Title SV">
    <vt:lpwstr>Bilfinger 2019</vt:lpwstr>
  </property>
  <property fmtid="{D5CDD505-2E9C-101B-9397-08002B2CF9AE}" pid="11" name="_docset_NoMedatataSyncRequired">
    <vt:lpwstr>False</vt:lpwstr>
  </property>
  <property fmtid="{D5CDD505-2E9C-101B-9397-08002B2CF9AE}" pid="12" name="Language">
    <vt:lpwstr>259;##ES|dd4c9c45-94c3-4cf4-ab9c-523f2b58f76e</vt:lpwstr>
  </property>
  <property fmtid="{D5CDD505-2E9C-101B-9397-08002B2CF9AE}" pid="13" name="DisableEventReceiver">
    <vt:bool>false</vt:bool>
  </property>
</Properties>
</file>