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F29" w14:textId="77777777" w:rsidR="00377B4F" w:rsidRPr="00EF7D7C" w:rsidRDefault="00377B4F" w:rsidP="003F6E14">
      <w:pPr>
        <w:rPr>
          <w:rFonts w:cs="Arial"/>
          <w:lang w:val="de-DE"/>
        </w:rPr>
      </w:pPr>
    </w:p>
    <w:p w14:paraId="154EF782" w14:textId="77777777" w:rsidR="006021F3" w:rsidRPr="00EF7D7C" w:rsidRDefault="006021F3" w:rsidP="003F6E14">
      <w:pPr>
        <w:rPr>
          <w:rFonts w:cs="Arial"/>
          <w:lang w:val="de-DE"/>
        </w:rPr>
      </w:pPr>
    </w:p>
    <w:p w14:paraId="1179E104" w14:textId="77777777" w:rsidR="006021F3" w:rsidRPr="00EF7D7C" w:rsidRDefault="006021F3" w:rsidP="003F6E14">
      <w:pPr>
        <w:rPr>
          <w:rFonts w:cs="Arial"/>
          <w:lang w:val="de-DE"/>
        </w:rPr>
        <w:sectPr w:rsidR="006021F3" w:rsidRPr="00EF7D7C" w:rsidSect="008527B9">
          <w:headerReference w:type="default" r:id="rId12"/>
          <w:footerReference w:type="default" r:id="rId13"/>
          <w:pgSz w:w="11906" w:h="16838"/>
          <w:pgMar w:top="1977" w:right="746" w:bottom="1134" w:left="1260" w:header="708" w:footer="481" w:gutter="0"/>
          <w:cols w:space="708"/>
          <w:docGrid w:linePitch="360"/>
        </w:sectPr>
      </w:pPr>
    </w:p>
    <w:p w14:paraId="0BB9FF11" w14:textId="77777777" w:rsidR="005B7715" w:rsidRPr="007D19E2" w:rsidRDefault="002937C4" w:rsidP="003F6E14">
      <w:pPr>
        <w:pStyle w:val="berschrift1"/>
        <w:spacing w:before="0" w:after="0"/>
      </w:pPr>
      <w:r>
        <w:t>NOTA DE PRENSA</w:t>
      </w:r>
    </w:p>
    <w:p w14:paraId="797AF3E2" w14:textId="77777777" w:rsidR="00A206DD" w:rsidRPr="005C1E45" w:rsidRDefault="00A206DD" w:rsidP="003F6E14">
      <w:pPr>
        <w:rPr>
          <w:rFonts w:cs="Arial"/>
          <w:szCs w:val="20"/>
          <w:lang w:val="en-US"/>
        </w:rPr>
      </w:pPr>
    </w:p>
    <w:p w14:paraId="7CEB1497" w14:textId="77777777" w:rsidR="003F6E14" w:rsidRPr="005C1E45" w:rsidRDefault="003F6E14" w:rsidP="003F6E14">
      <w:pPr>
        <w:pStyle w:val="Titel"/>
        <w:pBdr>
          <w:bottom w:val="none" w:sz="0" w:space="0" w:color="auto"/>
        </w:pBdr>
        <w:spacing w:after="0"/>
        <w:rPr>
          <w:rFonts w:ascii="Arial" w:hAnsi="Arial"/>
          <w:b/>
          <w:color w:val="000000"/>
          <w:sz w:val="28"/>
          <w:lang w:val="en-US"/>
        </w:rPr>
      </w:pPr>
    </w:p>
    <w:p w14:paraId="6181EFD9" w14:textId="77777777" w:rsidR="00AE2683" w:rsidRPr="00FD0D41" w:rsidRDefault="0068168E" w:rsidP="003F6E14">
      <w:pPr>
        <w:pStyle w:val="Titel"/>
        <w:pBdr>
          <w:bottom w:val="none" w:sz="0" w:space="0" w:color="auto"/>
        </w:pBdr>
        <w:spacing w:after="0"/>
        <w:rPr>
          <w:rFonts w:ascii="Arial" w:hAnsi="Arial" w:cs="Arial"/>
          <w:b/>
          <w:color w:val="000000"/>
          <w:sz w:val="28"/>
          <w:szCs w:val="22"/>
        </w:rPr>
      </w:pPr>
      <w:r>
        <w:rPr>
          <w:rFonts w:ascii="Arial" w:hAnsi="Arial"/>
          <w:b/>
          <w:color w:val="000000"/>
          <w:sz w:val="28"/>
        </w:rPr>
        <w:t>El dúo perfecto para lograr un mayor rendimiento</w:t>
      </w:r>
    </w:p>
    <w:p w14:paraId="50DB2F93" w14:textId="77777777" w:rsidR="00AE2683" w:rsidRDefault="00742B19" w:rsidP="003F6E14">
      <w:pPr>
        <w:rPr>
          <w:rFonts w:cs="Arial"/>
          <w:b/>
          <w:szCs w:val="20"/>
        </w:rPr>
      </w:pPr>
      <w:r>
        <w:rPr>
          <w:b/>
          <w:szCs w:val="20"/>
        </w:rPr>
        <w:t xml:space="preserve">Soldadura </w:t>
      </w:r>
      <w:proofErr w:type="spellStart"/>
      <w:r>
        <w:rPr>
          <w:b/>
          <w:szCs w:val="20"/>
        </w:rPr>
        <w:t>Tandem</w:t>
      </w:r>
      <w:proofErr w:type="spellEnd"/>
      <w:r>
        <w:rPr>
          <w:b/>
          <w:szCs w:val="20"/>
        </w:rPr>
        <w:t xml:space="preserve"> TPS/i TWIN </w:t>
      </w:r>
      <w:proofErr w:type="spellStart"/>
      <w:r>
        <w:rPr>
          <w:b/>
          <w:szCs w:val="20"/>
        </w:rPr>
        <w:t>Push</w:t>
      </w:r>
      <w:proofErr w:type="spellEnd"/>
      <w:r>
        <w:rPr>
          <w:b/>
          <w:szCs w:val="20"/>
        </w:rPr>
        <w:t xml:space="preserve"> de </w:t>
      </w:r>
      <w:proofErr w:type="spellStart"/>
      <w:r>
        <w:rPr>
          <w:b/>
          <w:szCs w:val="20"/>
        </w:rPr>
        <w:t>Fronius</w:t>
      </w:r>
      <w:proofErr w:type="spellEnd"/>
    </w:p>
    <w:p w14:paraId="03BCE8C8" w14:textId="77777777" w:rsidR="00742B19" w:rsidRPr="005C1E45" w:rsidRDefault="00742B19" w:rsidP="003F6E14">
      <w:pPr>
        <w:rPr>
          <w:rFonts w:cs="Arial"/>
          <w:b/>
          <w:szCs w:val="20"/>
          <w:lang w:val="en-US"/>
        </w:rPr>
      </w:pPr>
    </w:p>
    <w:p w14:paraId="013AF3FC" w14:textId="77777777" w:rsidR="00AE2683" w:rsidRPr="005C1E45" w:rsidRDefault="00AE2683" w:rsidP="003F6E14">
      <w:pPr>
        <w:rPr>
          <w:rFonts w:cs="Arial"/>
          <w:b/>
          <w:szCs w:val="20"/>
          <w:lang w:val="en-US"/>
        </w:rPr>
      </w:pPr>
    </w:p>
    <w:p w14:paraId="4DAECE48" w14:textId="3A678E22" w:rsidR="00283F56" w:rsidRDefault="00283F56" w:rsidP="003F6E14">
      <w:pPr>
        <w:rPr>
          <w:rFonts w:cs="Arial"/>
          <w:b/>
          <w:szCs w:val="20"/>
        </w:rPr>
      </w:pPr>
      <w:proofErr w:type="spellStart"/>
      <w:r>
        <w:rPr>
          <w:b/>
          <w:szCs w:val="20"/>
        </w:rPr>
        <w:t>Fronius</w:t>
      </w:r>
      <w:proofErr w:type="spellEnd"/>
      <w:r>
        <w:rPr>
          <w:b/>
          <w:szCs w:val="20"/>
        </w:rPr>
        <w:t xml:space="preserve"> ahora ofrece su proceso de soldadura </w:t>
      </w:r>
      <w:proofErr w:type="spellStart"/>
      <w:r>
        <w:rPr>
          <w:b/>
          <w:szCs w:val="20"/>
        </w:rPr>
        <w:t>Tandem</w:t>
      </w:r>
      <w:proofErr w:type="spellEnd"/>
      <w:r>
        <w:rPr>
          <w:b/>
          <w:szCs w:val="20"/>
        </w:rPr>
        <w:t xml:space="preserve"> en la plataforma de soldadura TPS/i. El sistema de soldadura de alto rendimiento TPS/i TWIN </w:t>
      </w:r>
      <w:proofErr w:type="spellStart"/>
      <w:r>
        <w:rPr>
          <w:b/>
          <w:szCs w:val="20"/>
        </w:rPr>
        <w:t>Push</w:t>
      </w:r>
      <w:proofErr w:type="spellEnd"/>
      <w:r>
        <w:rPr>
          <w:b/>
          <w:szCs w:val="20"/>
        </w:rPr>
        <w:t xml:space="preserve"> no sólo es más compacto, fácil de usar y con más capacidades de red, sino que también integra mejoras para el proceso de soldadura. Para los usuarios, esto significa tasas de deposición más altas, mayores velocidades de soldadura y más eficiencia debido a la necesidad reducida de prefabricación y red.</w:t>
      </w:r>
    </w:p>
    <w:p w14:paraId="347BFB53" w14:textId="77777777" w:rsidR="00AE2683" w:rsidRPr="005C1E45" w:rsidRDefault="00AE2683" w:rsidP="003F6E14">
      <w:pPr>
        <w:rPr>
          <w:rFonts w:eastAsia="Times New Roman" w:cs="Arial"/>
          <w:b/>
          <w:szCs w:val="20"/>
          <w:lang w:val="en-US"/>
        </w:rPr>
      </w:pPr>
    </w:p>
    <w:p w14:paraId="136569EF" w14:textId="389E506A" w:rsidR="005F13D7" w:rsidRDefault="006054EA" w:rsidP="005F13D7">
      <w:pPr>
        <w:rPr>
          <w:rFonts w:cs="Arial"/>
          <w:szCs w:val="20"/>
        </w:rPr>
      </w:pPr>
      <w:r>
        <w:t xml:space="preserve">La soldadura de alto rendimiento se caracteriza por una alta tasa de deposición que permite un alto volumen de cordones de soldadura o altas velocidades de soldadura. Esto es relevante en particular al unir componentes de alto volumen o cordones de soldadura largos para maquinaria de construcción, vehículos comerciales, así como partes automotrices y en la construcción naval. El procesador de alta potencia del TPS/i mejora el proceso </w:t>
      </w:r>
      <w:proofErr w:type="spellStart"/>
      <w:r>
        <w:t>Tandem</w:t>
      </w:r>
      <w:proofErr w:type="spellEnd"/>
      <w:r>
        <w:t xml:space="preserve"> de TWIN </w:t>
      </w:r>
      <w:proofErr w:type="spellStart"/>
      <w:r>
        <w:t>Push</w:t>
      </w:r>
      <w:proofErr w:type="spellEnd"/>
      <w:r>
        <w:t xml:space="preserve">: El proceso es incluso más estable y confiable, y la capacidad de absorción de gaps mejorada ahorra tiempo al usuario en la etapa de preparación del componente. La cantidad de </w:t>
      </w:r>
      <w:proofErr w:type="spellStart"/>
      <w:r>
        <w:t>retrabajo</w:t>
      </w:r>
      <w:proofErr w:type="spellEnd"/>
      <w:r>
        <w:t xml:space="preserve"> también se puede reducir, ya que el control preciso del proceso de soldadura permite un desprendimiento de gota controlado y una baja aportación de calor en el componente, lo que permite resultados de baja formación de proyecciones con deformación mínima.</w:t>
      </w:r>
    </w:p>
    <w:p w14:paraId="349DB3F1" w14:textId="77777777" w:rsidR="00D72E53" w:rsidRPr="005C1E45" w:rsidRDefault="00D72E53" w:rsidP="008F345C">
      <w:pPr>
        <w:rPr>
          <w:rFonts w:cs="Arial"/>
          <w:szCs w:val="20"/>
          <w:lang w:val="en-US"/>
        </w:rPr>
      </w:pPr>
    </w:p>
    <w:p w14:paraId="0A2DFC88" w14:textId="10ACBC8F" w:rsidR="00262FAC" w:rsidRDefault="00ED52BC" w:rsidP="008F345C">
      <w:pPr>
        <w:rPr>
          <w:rFonts w:cs="Arial"/>
          <w:szCs w:val="20"/>
        </w:rPr>
      </w:pPr>
      <w:proofErr w:type="spellStart"/>
      <w:r>
        <w:t>Fronius</w:t>
      </w:r>
      <w:proofErr w:type="spellEnd"/>
      <w:r>
        <w:t xml:space="preserve"> ofrece nuevas opciones de proceso y control con el TPS/i TWIN </w:t>
      </w:r>
      <w:proofErr w:type="spellStart"/>
      <w:r>
        <w:t>Push</w:t>
      </w:r>
      <w:proofErr w:type="spellEnd"/>
      <w:r>
        <w:t xml:space="preserve">: PMC (Pulse </w:t>
      </w:r>
      <w:proofErr w:type="spellStart"/>
      <w:r>
        <w:t>Multi</w:t>
      </w:r>
      <w:proofErr w:type="spellEnd"/>
      <w:r>
        <w:t xml:space="preserve"> Control) TWIN incluye un arco voltaico pulsado corto y enfocado que permite una penetración mejorada y una velocidad de soldadura más alta. La opción </w:t>
      </w:r>
      <w:proofErr w:type="spellStart"/>
      <w:r>
        <w:t>PulseSync</w:t>
      </w:r>
      <w:proofErr w:type="spellEnd"/>
      <w:r>
        <w:t xml:space="preserve"> permite al usuario seleccionar de entre una gran variedad de velocidades de avance para los dos electrodos de soldadura. Esto le da al usuario una mayor flexibilidad para ajustar de forma ideal los parámetros de soldadura para el componente y lograr velocidades de soldadura más altas. La fuente de corriente corregirá automáticamente todos sus parámetros relevantes, como las propiedades de ignición, el punto de desprendimiento de gota y la relación del pulso. Los nuevos mecanismos de control ayudan al soldador de otras formas también: el estabilizador de la longitud de arco voltaico y el estabilizador de penetración incrementan la estabilidad del proceso y hacen que sea más fácil configurar los parámetros. Cuando la posición de la interface varía, posiblemente debido a la deformación del componente o por una junta de retención imprecisa, la guía de cordón de soldadura automática ayuda de la siguiente forma: Durante la soldadura, el sistema de soldadura transmite una señal de guía del cordón de soldadura al robot de forma que pueda hacer correcciones como sea necesario.</w:t>
      </w:r>
    </w:p>
    <w:p w14:paraId="76F2206F" w14:textId="77777777" w:rsidR="00262FAC" w:rsidRPr="005C1E45" w:rsidRDefault="00262FAC" w:rsidP="008F345C">
      <w:pPr>
        <w:rPr>
          <w:rFonts w:cs="Arial"/>
          <w:szCs w:val="20"/>
          <w:lang w:val="en-US"/>
        </w:rPr>
      </w:pPr>
    </w:p>
    <w:p w14:paraId="04512EE7" w14:textId="77777777" w:rsidR="00D73B2F" w:rsidRPr="00742B19" w:rsidRDefault="00742B19" w:rsidP="006054EA">
      <w:pPr>
        <w:rPr>
          <w:rFonts w:cs="Arial"/>
          <w:b/>
          <w:szCs w:val="20"/>
        </w:rPr>
      </w:pPr>
      <w:r>
        <w:rPr>
          <w:b/>
          <w:szCs w:val="20"/>
        </w:rPr>
        <w:t>Sistema ingenioso, larga vida útil</w:t>
      </w:r>
    </w:p>
    <w:p w14:paraId="3980F7F6" w14:textId="77777777" w:rsidR="004F2F46" w:rsidRPr="005C1E45" w:rsidRDefault="004F2F46" w:rsidP="004F2F46">
      <w:pPr>
        <w:rPr>
          <w:rFonts w:cs="Arial"/>
          <w:szCs w:val="20"/>
          <w:lang w:val="en-US"/>
        </w:rPr>
      </w:pPr>
    </w:p>
    <w:p w14:paraId="23B55A02" w14:textId="7B26340E" w:rsidR="008F345C" w:rsidRDefault="004F2F46" w:rsidP="003F6E14">
      <w:pPr>
        <w:rPr>
          <w:rFonts w:cs="Arial"/>
          <w:szCs w:val="20"/>
        </w:rPr>
      </w:pPr>
      <w:r>
        <w:t xml:space="preserve">El proceso TWIN se basa en la soldadura </w:t>
      </w:r>
      <w:proofErr w:type="spellStart"/>
      <w:r>
        <w:t>Tandem</w:t>
      </w:r>
      <w:proofErr w:type="spellEnd"/>
      <w:r>
        <w:t xml:space="preserve"> e incluye dos electrodos de soldadura que son alimentados en una antorcha de soldadura con una sola tobera de gas, pero que permanecen aislados eléctricamente uno del otro. Como resultado, los arcos voltaicos pueden controlarse de forma independiente y, a pesar de las salidas diferentes, pueden sincronizarse y coordinarse con precisión. Además de dos fuentes de corriente TPS/i, el sistema TWIN </w:t>
      </w:r>
      <w:proofErr w:type="spellStart"/>
      <w:r>
        <w:t>Push</w:t>
      </w:r>
      <w:proofErr w:type="spellEnd"/>
      <w:r>
        <w:t xml:space="preserve"> requiere un controlador TWIN. El controlador sincroniza el proceso de soldadura y actúa como una interface que es compatible con todos los tipos de robot. El alimentador de alambre compacto, el sistema de refrigeración, el juego de cables y la antorcha de soldadura TWIN completan el sistema de soldadura.</w:t>
      </w:r>
    </w:p>
    <w:p w14:paraId="7F4AB6B2" w14:textId="77777777" w:rsidR="008F345C" w:rsidRPr="005C1E45" w:rsidRDefault="008F345C" w:rsidP="003F6E14">
      <w:pPr>
        <w:rPr>
          <w:rFonts w:cs="Arial"/>
          <w:szCs w:val="20"/>
        </w:rPr>
      </w:pPr>
    </w:p>
    <w:p w14:paraId="704FBECD" w14:textId="3EAC2726" w:rsidR="002B21C3" w:rsidRPr="00CB251A" w:rsidRDefault="0068168E" w:rsidP="0068168E">
      <w:pPr>
        <w:rPr>
          <w:rFonts w:cs="Arial"/>
          <w:szCs w:val="20"/>
        </w:rPr>
      </w:pPr>
      <w:r>
        <w:t xml:space="preserve">El sistema de refrigeración para la antorcha de soldadura ha sido mejorado, extendiendo la vida útil de los consumibles. Junto con esto, </w:t>
      </w:r>
      <w:proofErr w:type="spellStart"/>
      <w:r>
        <w:t>Fronius</w:t>
      </w:r>
      <w:proofErr w:type="spellEnd"/>
      <w:r>
        <w:t xml:space="preserve"> ha desarrollado </w:t>
      </w:r>
      <w:proofErr w:type="spellStart"/>
      <w:r>
        <w:t>Robacta</w:t>
      </w:r>
      <w:proofErr w:type="spellEnd"/>
      <w:r>
        <w:t xml:space="preserve"> TSS/i </w:t>
      </w:r>
      <w:proofErr w:type="spellStart"/>
      <w:r>
        <w:t>TorchServiceStation</w:t>
      </w:r>
      <w:proofErr w:type="spellEnd"/>
      <w:r>
        <w:t>: Este sistema de limpieza de antorcha combina una variedad de métodos de limpieza incluyendo limpieza de alta presión, limpieza de cepillado y limpieza magnética, así como corte de limpieza. El sistema de limpieza de antorcha profesional reduce los costos generales del sistema al extender la vida útil de los consumibles.</w:t>
      </w:r>
    </w:p>
    <w:p w14:paraId="3E57AD4B" w14:textId="77777777" w:rsidR="00F13681" w:rsidRPr="005C1E45" w:rsidRDefault="00F13681" w:rsidP="003F6E14">
      <w:pPr>
        <w:rPr>
          <w:rFonts w:cs="Arial"/>
          <w:szCs w:val="20"/>
        </w:rPr>
      </w:pPr>
    </w:p>
    <w:p w14:paraId="75A3B335" w14:textId="4B6AB510" w:rsidR="00FD1C8A" w:rsidRDefault="001F2E3B" w:rsidP="003F6E14">
      <w:pPr>
        <w:rPr>
          <w:rFonts w:cs="Arial"/>
          <w:szCs w:val="20"/>
        </w:rPr>
      </w:pPr>
      <w:r>
        <w:t xml:space="preserve">El rendimiento del sistema de soldadura puede incrementarse más al usar la estación de cambio de antorcha de soldadura TX TWIN. La consola permite el cambio automatizado entre los cuellos antorcha de soldadura </w:t>
      </w:r>
      <w:r>
        <w:lastRenderedPageBreak/>
        <w:t xml:space="preserve">TWIN e individual. Esto significa que se puede usar el mismo sistema para soldar áreas que son particularmente difíciles de acceder con el cuello antorcha individual más </w:t>
      </w:r>
      <w:proofErr w:type="gramStart"/>
      <w:r>
        <w:t>compacto</w:t>
      </w:r>
      <w:proofErr w:type="gramEnd"/>
      <w:r>
        <w:t>. El robot cambia automáticamente el cuello antorcha, permitiendo hacer cambios sin intervención de una persona.</w:t>
      </w:r>
    </w:p>
    <w:p w14:paraId="449FE299" w14:textId="77777777" w:rsidR="005B0718" w:rsidRPr="005C1E45" w:rsidRDefault="005B0718" w:rsidP="003F6E14">
      <w:pPr>
        <w:rPr>
          <w:rFonts w:cs="Arial"/>
          <w:color w:val="FF0000"/>
          <w:szCs w:val="20"/>
          <w:lang w:val="en-US"/>
        </w:rPr>
      </w:pPr>
    </w:p>
    <w:p w14:paraId="44C4E4F1" w14:textId="77777777" w:rsidR="002A1356" w:rsidRPr="005C1E45" w:rsidRDefault="002A1356" w:rsidP="003F6E14">
      <w:pPr>
        <w:rPr>
          <w:rFonts w:cs="Arial"/>
          <w:szCs w:val="20"/>
          <w:lang w:val="en-US"/>
        </w:rPr>
      </w:pPr>
    </w:p>
    <w:p w14:paraId="508FD7D4" w14:textId="6062598C" w:rsidR="00ED4FC0" w:rsidRPr="00AE2683" w:rsidRDefault="005C1E45" w:rsidP="003F6E14">
      <w:pPr>
        <w:rPr>
          <w:rFonts w:cs="Arial"/>
          <w:i/>
          <w:szCs w:val="20"/>
        </w:rPr>
      </w:pPr>
      <w:r>
        <w:rPr>
          <w:i/>
          <w:szCs w:val="20"/>
        </w:rPr>
        <w:t>4</w:t>
      </w:r>
      <w:r w:rsidR="00E24368">
        <w:rPr>
          <w:i/>
          <w:szCs w:val="20"/>
        </w:rPr>
        <w:t>,</w:t>
      </w:r>
      <w:r>
        <w:rPr>
          <w:i/>
          <w:szCs w:val="20"/>
        </w:rPr>
        <w:t>583</w:t>
      </w:r>
      <w:r w:rsidR="00E24368">
        <w:rPr>
          <w:i/>
          <w:szCs w:val="20"/>
        </w:rPr>
        <w:t xml:space="preserve"> caracteres (espacios incluidos)</w:t>
      </w:r>
    </w:p>
    <w:p w14:paraId="3957B788" w14:textId="77777777" w:rsidR="00505D71" w:rsidRPr="005C1E45" w:rsidRDefault="00505D71" w:rsidP="003F6E14">
      <w:pPr>
        <w:rPr>
          <w:rFonts w:cs="Arial"/>
          <w:b/>
          <w:szCs w:val="20"/>
          <w:lang w:val="en-US"/>
        </w:rPr>
      </w:pPr>
    </w:p>
    <w:p w14:paraId="6614926E" w14:textId="77777777" w:rsidR="00A64948" w:rsidRPr="005C1E45" w:rsidRDefault="00A64948" w:rsidP="003F6E14">
      <w:pPr>
        <w:rPr>
          <w:rFonts w:cs="Arial"/>
          <w:b/>
          <w:szCs w:val="20"/>
          <w:lang w:val="en-US"/>
        </w:rPr>
      </w:pPr>
    </w:p>
    <w:p w14:paraId="3E427A40" w14:textId="77777777" w:rsidR="00A64948" w:rsidRPr="00DD3CF2" w:rsidRDefault="00A64948" w:rsidP="00A64948">
      <w:pPr>
        <w:rPr>
          <w:b/>
        </w:rPr>
      </w:pPr>
      <w:r>
        <w:rPr>
          <w:b/>
        </w:rPr>
        <w:t>[Título de navegación: sitio web]</w:t>
      </w:r>
    </w:p>
    <w:p w14:paraId="1758BF7F" w14:textId="77777777" w:rsidR="00A64948" w:rsidRPr="0095114F" w:rsidRDefault="002F6645" w:rsidP="00A64948">
      <w:r>
        <w:t xml:space="preserve">TPS/i TWIN </w:t>
      </w:r>
      <w:proofErr w:type="spellStart"/>
      <w:r>
        <w:t>Push</w:t>
      </w:r>
      <w:proofErr w:type="spellEnd"/>
      <w:r>
        <w:t xml:space="preserve"> - Soldadura </w:t>
      </w:r>
      <w:proofErr w:type="spellStart"/>
      <w:r>
        <w:t>Tandem</w:t>
      </w:r>
      <w:proofErr w:type="spellEnd"/>
    </w:p>
    <w:p w14:paraId="42B7213C" w14:textId="77777777" w:rsidR="002F6645" w:rsidRPr="0095114F" w:rsidRDefault="002F6645" w:rsidP="00A64948"/>
    <w:p w14:paraId="0682DA2F" w14:textId="77777777" w:rsidR="00A64948" w:rsidRPr="00DD3CF2" w:rsidRDefault="00A64948" w:rsidP="00A64948">
      <w:pPr>
        <w:rPr>
          <w:b/>
        </w:rPr>
      </w:pPr>
      <w:r>
        <w:rPr>
          <w:b/>
        </w:rPr>
        <w:t>[Nombre de visualización: URL]</w:t>
      </w:r>
    </w:p>
    <w:p w14:paraId="64F8F951" w14:textId="77777777" w:rsidR="00A64948" w:rsidRDefault="002F6645" w:rsidP="00A64948">
      <w:proofErr w:type="spellStart"/>
      <w:proofErr w:type="gramStart"/>
      <w:r>
        <w:t>tpsi-twin-push</w:t>
      </w:r>
      <w:proofErr w:type="spellEnd"/>
      <w:proofErr w:type="gramEnd"/>
    </w:p>
    <w:p w14:paraId="3E8173C4" w14:textId="77777777" w:rsidR="002F6645" w:rsidRPr="00283F56" w:rsidRDefault="002F6645" w:rsidP="00A64948"/>
    <w:p w14:paraId="0742E9CB" w14:textId="77777777" w:rsidR="00A64948" w:rsidRPr="00DD3CF2" w:rsidRDefault="00946FAE" w:rsidP="00A64948">
      <w:pPr>
        <w:rPr>
          <w:b/>
        </w:rPr>
      </w:pPr>
      <w:r>
        <w:rPr>
          <w:b/>
        </w:rPr>
        <w:t>[Título meta]</w:t>
      </w:r>
    </w:p>
    <w:p w14:paraId="2D0FBE14" w14:textId="77777777" w:rsidR="002F6645" w:rsidRPr="002F6645" w:rsidRDefault="002F6645" w:rsidP="002F6645">
      <w:pPr>
        <w:rPr>
          <w:rFonts w:cs="Arial"/>
          <w:szCs w:val="20"/>
        </w:rPr>
      </w:pPr>
      <w:r>
        <w:t xml:space="preserve">Soldadura </w:t>
      </w:r>
      <w:proofErr w:type="spellStart"/>
      <w:r>
        <w:t>Tandem</w:t>
      </w:r>
      <w:proofErr w:type="spellEnd"/>
      <w:r>
        <w:t xml:space="preserve"> TPS/i TWIN </w:t>
      </w:r>
      <w:proofErr w:type="spellStart"/>
      <w:r>
        <w:t>Push</w:t>
      </w:r>
      <w:proofErr w:type="spellEnd"/>
      <w:r>
        <w:t xml:space="preserve"> de </w:t>
      </w:r>
      <w:proofErr w:type="spellStart"/>
      <w:r>
        <w:t>Fronius</w:t>
      </w:r>
      <w:proofErr w:type="spellEnd"/>
      <w:r>
        <w:t xml:space="preserve"> para lograr un mayor rendimiento</w:t>
      </w:r>
    </w:p>
    <w:p w14:paraId="4FFBDAFC" w14:textId="77777777" w:rsidR="002F6645" w:rsidRPr="005C1E45" w:rsidRDefault="002F6645" w:rsidP="00A64948">
      <w:pPr>
        <w:rPr>
          <w:lang w:val="en-US"/>
        </w:rPr>
      </w:pPr>
    </w:p>
    <w:p w14:paraId="0C0CC799" w14:textId="2FFEDF6A" w:rsidR="00A64948" w:rsidRPr="00DD3CF2" w:rsidRDefault="00A64948" w:rsidP="00A64948">
      <w:pPr>
        <w:rPr>
          <w:b/>
        </w:rPr>
      </w:pPr>
      <w:r>
        <w:rPr>
          <w:b/>
        </w:rPr>
        <w:t>[Descripción meta]</w:t>
      </w:r>
    </w:p>
    <w:p w14:paraId="6151E816" w14:textId="57B10213" w:rsidR="002F6645" w:rsidRPr="002F6645" w:rsidRDefault="002357F0" w:rsidP="002F6645">
      <w:pPr>
        <w:rPr>
          <w:rFonts w:cs="Arial"/>
          <w:szCs w:val="20"/>
        </w:rPr>
      </w:pPr>
      <w:r>
        <w:t xml:space="preserve">La soldadura de alto rendimiento con TPS/i TWIN </w:t>
      </w:r>
      <w:proofErr w:type="spellStart"/>
      <w:r>
        <w:t>Push</w:t>
      </w:r>
      <w:proofErr w:type="spellEnd"/>
      <w:r>
        <w:t xml:space="preserve"> permite mayores tasas de deposición y velocidades de soldadura más altas, así como también reduce la cantidad de prefabricación y </w:t>
      </w:r>
      <w:proofErr w:type="spellStart"/>
      <w:r>
        <w:t>retrabajo</w:t>
      </w:r>
      <w:proofErr w:type="spellEnd"/>
      <w:r>
        <w:t xml:space="preserve"> necesarios.</w:t>
      </w:r>
    </w:p>
    <w:p w14:paraId="52C2F525" w14:textId="77777777" w:rsidR="00A64948" w:rsidRPr="005C1E45" w:rsidRDefault="00A64948" w:rsidP="003F6E14">
      <w:pPr>
        <w:rPr>
          <w:rFonts w:cs="Arial"/>
          <w:szCs w:val="20"/>
          <w:lang w:val="en-US"/>
        </w:rPr>
      </w:pPr>
    </w:p>
    <w:p w14:paraId="472984C6" w14:textId="77777777" w:rsidR="0017721C" w:rsidRPr="005C1E45" w:rsidRDefault="0017721C" w:rsidP="003F6E14">
      <w:pPr>
        <w:rPr>
          <w:rFonts w:cs="Arial"/>
          <w:b/>
          <w:szCs w:val="20"/>
          <w:lang w:val="en-US"/>
        </w:rPr>
      </w:pPr>
    </w:p>
    <w:p w14:paraId="1C437964" w14:textId="77777777" w:rsidR="00A72F91" w:rsidRPr="00AE2683" w:rsidRDefault="00634499" w:rsidP="003F6E14">
      <w:pPr>
        <w:rPr>
          <w:rFonts w:cs="Arial"/>
          <w:b/>
          <w:szCs w:val="20"/>
        </w:rPr>
      </w:pPr>
      <w:r>
        <w:rPr>
          <w:b/>
          <w:szCs w:val="20"/>
        </w:rPr>
        <w:t xml:space="preserve">Leyendas: </w:t>
      </w:r>
    </w:p>
    <w:p w14:paraId="6394A8D9" w14:textId="77777777" w:rsidR="00DA654E" w:rsidRDefault="00DA654E" w:rsidP="003F6E14">
      <w:pPr>
        <w:rPr>
          <w:rFonts w:cs="Arial"/>
          <w:szCs w:val="20"/>
          <w:lang w:val="de-DE"/>
        </w:rPr>
      </w:pPr>
    </w:p>
    <w:p w14:paraId="591E7D86" w14:textId="48431FF8" w:rsidR="00FC3AF3" w:rsidRPr="00AE2683" w:rsidRDefault="00B77353" w:rsidP="003F6E14">
      <w:pPr>
        <w:rPr>
          <w:rFonts w:cs="Arial"/>
          <w:szCs w:val="20"/>
        </w:rPr>
      </w:pPr>
      <w:r>
        <w:rPr>
          <w:noProof/>
          <w:lang w:val="de-AT" w:eastAsia="de-AT"/>
        </w:rPr>
        <w:drawing>
          <wp:inline distT="0" distB="0" distL="0" distR="0" wp14:anchorId="522E4522" wp14:editId="483E5E97">
            <wp:extent cx="1993906" cy="1333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001712" cy="1338721"/>
                    </a:xfrm>
                    <a:prstGeom prst="rect">
                      <a:avLst/>
                    </a:prstGeom>
                  </pic:spPr>
                </pic:pic>
              </a:graphicData>
            </a:graphic>
          </wp:inline>
        </w:drawing>
      </w:r>
    </w:p>
    <w:p w14:paraId="01C25EB7" w14:textId="7BC5EA2C" w:rsidR="00512ECD" w:rsidRDefault="00512ECD" w:rsidP="003F6E14">
      <w:pPr>
        <w:rPr>
          <w:rFonts w:cs="Arial"/>
          <w:szCs w:val="20"/>
        </w:rPr>
      </w:pPr>
      <w:r>
        <w:rPr>
          <w:b/>
          <w:szCs w:val="20"/>
        </w:rPr>
        <w:t xml:space="preserve">Imagen 1: </w:t>
      </w:r>
      <w:r>
        <w:t xml:space="preserve">Le proceso de soldadura de alto rendimiento </w:t>
      </w:r>
      <w:proofErr w:type="spellStart"/>
      <w:r>
        <w:t>Tandem</w:t>
      </w:r>
      <w:proofErr w:type="spellEnd"/>
      <w:r>
        <w:t xml:space="preserve"> garantiza que los componentes de alto volumen y los cordones de soldadura largos se unan de forma eficiente.</w:t>
      </w:r>
    </w:p>
    <w:p w14:paraId="18B84E93" w14:textId="77777777" w:rsidR="00C57436" w:rsidRPr="005C1E45" w:rsidRDefault="00C57436" w:rsidP="003F6E14">
      <w:pPr>
        <w:rPr>
          <w:rFonts w:cs="Arial"/>
          <w:b/>
          <w:szCs w:val="20"/>
        </w:rPr>
      </w:pPr>
    </w:p>
    <w:p w14:paraId="71AB2ACE" w14:textId="5D3BA10A" w:rsidR="00FC3AF3" w:rsidRDefault="00B77353" w:rsidP="003F6E14">
      <w:pPr>
        <w:rPr>
          <w:rFonts w:cs="Arial"/>
          <w:b/>
          <w:szCs w:val="20"/>
        </w:rPr>
      </w:pPr>
      <w:r>
        <w:rPr>
          <w:noProof/>
          <w:lang w:val="de-AT" w:eastAsia="de-AT"/>
        </w:rPr>
        <w:drawing>
          <wp:inline distT="0" distB="0" distL="0" distR="0" wp14:anchorId="539DE7DB" wp14:editId="1AB5357F">
            <wp:extent cx="1987550" cy="147921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014114" cy="1498989"/>
                    </a:xfrm>
                    <a:prstGeom prst="rect">
                      <a:avLst/>
                    </a:prstGeom>
                  </pic:spPr>
                </pic:pic>
              </a:graphicData>
            </a:graphic>
          </wp:inline>
        </w:drawing>
      </w:r>
    </w:p>
    <w:p w14:paraId="4E9603AA" w14:textId="77777777" w:rsidR="00FC3AF3" w:rsidRDefault="00FC3AF3" w:rsidP="003F6E14">
      <w:r>
        <w:rPr>
          <w:b/>
          <w:szCs w:val="20"/>
        </w:rPr>
        <w:t xml:space="preserve">Imagen 2: </w:t>
      </w:r>
      <w:r>
        <w:t>Los dos electrodos de soldadura están aislados entre sí, permitiendo que los arcos voltaicos se controlen de forma individual.</w:t>
      </w:r>
    </w:p>
    <w:p w14:paraId="114EC593" w14:textId="77777777" w:rsidR="00F537CA" w:rsidRDefault="00F537CA" w:rsidP="003F6E14"/>
    <w:p w14:paraId="15FE6462" w14:textId="77777777" w:rsidR="00F537CA" w:rsidRDefault="00F537CA" w:rsidP="003F6E14"/>
    <w:p w14:paraId="5B5DBE1F" w14:textId="77777777" w:rsidR="00F537CA" w:rsidRDefault="00F537CA" w:rsidP="003F6E14"/>
    <w:p w14:paraId="36537FC8" w14:textId="77777777" w:rsidR="00F537CA" w:rsidRDefault="00F537CA" w:rsidP="003F6E14"/>
    <w:p w14:paraId="3C59F14D" w14:textId="77777777" w:rsidR="00F537CA" w:rsidRDefault="00F537CA" w:rsidP="003F6E14"/>
    <w:p w14:paraId="618AE20D" w14:textId="77777777" w:rsidR="00F537CA" w:rsidRDefault="00F537CA" w:rsidP="003F6E14"/>
    <w:p w14:paraId="280EE6B7" w14:textId="77777777" w:rsidR="00F537CA" w:rsidRDefault="00F537CA" w:rsidP="003F6E14"/>
    <w:p w14:paraId="5EB5B3B9" w14:textId="77777777" w:rsidR="00F537CA" w:rsidRDefault="00F537CA" w:rsidP="003F6E14"/>
    <w:p w14:paraId="7BBCB7B7" w14:textId="77777777" w:rsidR="00F537CA" w:rsidRDefault="00F537CA" w:rsidP="003F6E14"/>
    <w:p w14:paraId="11E0DCD2" w14:textId="77777777" w:rsidR="00F537CA" w:rsidRDefault="00F537CA" w:rsidP="003F6E14"/>
    <w:p w14:paraId="7A842925" w14:textId="77777777" w:rsidR="00F537CA" w:rsidRDefault="00F537CA" w:rsidP="003F6E14"/>
    <w:p w14:paraId="5CBF9A74" w14:textId="277012C5" w:rsidR="00512ECD" w:rsidRPr="00AE2683" w:rsidRDefault="00B77353" w:rsidP="003F6E14">
      <w:pPr>
        <w:rPr>
          <w:rFonts w:cs="Arial"/>
          <w:b/>
          <w:szCs w:val="20"/>
        </w:rPr>
      </w:pPr>
      <w:r>
        <w:rPr>
          <w:noProof/>
          <w:lang w:val="de-AT" w:eastAsia="de-AT"/>
        </w:rPr>
        <w:lastRenderedPageBreak/>
        <w:drawing>
          <wp:inline distT="0" distB="0" distL="0" distR="0" wp14:anchorId="118CCE36" wp14:editId="44F25F22">
            <wp:extent cx="1441450" cy="1840621"/>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450145" cy="1851724"/>
                    </a:xfrm>
                    <a:prstGeom prst="rect">
                      <a:avLst/>
                    </a:prstGeom>
                  </pic:spPr>
                </pic:pic>
              </a:graphicData>
            </a:graphic>
          </wp:inline>
        </w:drawing>
      </w:r>
      <w:bookmarkStart w:id="0" w:name="_GoBack"/>
      <w:bookmarkEnd w:id="0"/>
    </w:p>
    <w:p w14:paraId="3D954B5A" w14:textId="77777777" w:rsidR="00512ECD" w:rsidRPr="00D358E5" w:rsidRDefault="00FC3AF3" w:rsidP="003F6E14">
      <w:pPr>
        <w:rPr>
          <w:rFonts w:cs="Arial"/>
          <w:szCs w:val="20"/>
        </w:rPr>
      </w:pPr>
      <w:r>
        <w:rPr>
          <w:b/>
          <w:szCs w:val="20"/>
        </w:rPr>
        <w:t xml:space="preserve">Imagen 3: </w:t>
      </w:r>
      <w:r>
        <w:t xml:space="preserve">El sistema de refrigeración de la antorcha de soldadura TPS/i TWIN </w:t>
      </w:r>
      <w:proofErr w:type="spellStart"/>
      <w:r>
        <w:t>Push</w:t>
      </w:r>
      <w:proofErr w:type="spellEnd"/>
      <w:r>
        <w:t xml:space="preserve"> extiende la vida útil de los consumibles.</w:t>
      </w:r>
    </w:p>
    <w:p w14:paraId="23789529" w14:textId="77777777" w:rsidR="00512ECD" w:rsidRPr="005C1E45" w:rsidRDefault="00512ECD" w:rsidP="003F6E14">
      <w:pPr>
        <w:rPr>
          <w:rFonts w:cs="Arial"/>
          <w:b/>
          <w:szCs w:val="20"/>
        </w:rPr>
      </w:pPr>
    </w:p>
    <w:p w14:paraId="63FF1B16" w14:textId="3FFE1C79" w:rsidR="00FC3AF3" w:rsidRDefault="00B77353" w:rsidP="003F6E14">
      <w:pPr>
        <w:rPr>
          <w:rFonts w:cs="Arial"/>
          <w:b/>
          <w:szCs w:val="20"/>
        </w:rPr>
      </w:pPr>
      <w:r>
        <w:rPr>
          <w:noProof/>
          <w:lang w:val="de-AT" w:eastAsia="de-AT"/>
        </w:rPr>
        <w:drawing>
          <wp:inline distT="0" distB="0" distL="0" distR="0" wp14:anchorId="12971298" wp14:editId="78C47AF1">
            <wp:extent cx="2018931" cy="142875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26800" cy="1434319"/>
                    </a:xfrm>
                    <a:prstGeom prst="rect">
                      <a:avLst/>
                    </a:prstGeom>
                  </pic:spPr>
                </pic:pic>
              </a:graphicData>
            </a:graphic>
          </wp:inline>
        </w:drawing>
      </w:r>
    </w:p>
    <w:p w14:paraId="4CBF08FD" w14:textId="08F86801" w:rsidR="00FC3AF3" w:rsidRPr="00D358E5" w:rsidRDefault="00FC3AF3" w:rsidP="00D358E5">
      <w:pPr>
        <w:rPr>
          <w:rFonts w:cs="Arial"/>
          <w:szCs w:val="20"/>
        </w:rPr>
      </w:pPr>
      <w:r>
        <w:rPr>
          <w:b/>
          <w:szCs w:val="20"/>
        </w:rPr>
        <w:t xml:space="preserve">Imagen 4: </w:t>
      </w:r>
      <w:r>
        <w:t xml:space="preserve">El sistema de soldadura TPS/i TWIN </w:t>
      </w:r>
      <w:proofErr w:type="spellStart"/>
      <w:r>
        <w:t>Push</w:t>
      </w:r>
      <w:proofErr w:type="spellEnd"/>
      <w:r>
        <w:t xml:space="preserve"> consta de dos poderosos sistemas de soldadura TPS/i, el controlador TWIN, un alimentador de alambre compacto, un sistema de refrigeración, juegos de cables y la antorcha de soldadura TWIN. La nueva estación de limpieza de antorcha de soldadura </w:t>
      </w:r>
      <w:proofErr w:type="spellStart"/>
      <w:r>
        <w:t>Robacta</w:t>
      </w:r>
      <w:proofErr w:type="spellEnd"/>
      <w:r>
        <w:t xml:space="preserve"> TSS/i </w:t>
      </w:r>
      <w:proofErr w:type="spellStart"/>
      <w:r>
        <w:t>TorchServiceStation</w:t>
      </w:r>
      <w:proofErr w:type="spellEnd"/>
      <w:r>
        <w:t xml:space="preserve"> y la estación de cambio de antorcha de soldadura TX TWIN completan el sistema.</w:t>
      </w:r>
    </w:p>
    <w:p w14:paraId="57C89E43" w14:textId="77777777" w:rsidR="00FC3AF3" w:rsidRDefault="00FC3AF3" w:rsidP="003F6E14">
      <w:pPr>
        <w:rPr>
          <w:rFonts w:cs="Arial"/>
          <w:b/>
          <w:szCs w:val="20"/>
          <w:lang w:val="en-US"/>
        </w:rPr>
      </w:pPr>
    </w:p>
    <w:p w14:paraId="13716FC4" w14:textId="77777777" w:rsidR="005C1E45" w:rsidRPr="005C1E45" w:rsidRDefault="005C1E45" w:rsidP="003F6E14">
      <w:pPr>
        <w:rPr>
          <w:rFonts w:cs="Arial"/>
          <w:b/>
          <w:szCs w:val="20"/>
          <w:lang w:val="en-US"/>
        </w:rPr>
      </w:pPr>
    </w:p>
    <w:p w14:paraId="466C4DB3" w14:textId="77777777" w:rsidR="00FC3AF3" w:rsidRPr="005C1E45" w:rsidRDefault="00FC3AF3" w:rsidP="003F6E14">
      <w:pPr>
        <w:rPr>
          <w:rFonts w:cs="Arial"/>
          <w:b/>
          <w:szCs w:val="20"/>
          <w:lang w:val="en-US"/>
        </w:rPr>
      </w:pPr>
    </w:p>
    <w:p w14:paraId="32471A75" w14:textId="77777777" w:rsidR="005C1E45" w:rsidRPr="00C724A2" w:rsidRDefault="005C1E45" w:rsidP="005C1E45">
      <w:pPr>
        <w:rPr>
          <w:rFonts w:cs="Arial"/>
          <w:szCs w:val="20"/>
        </w:rPr>
      </w:pPr>
      <w:r w:rsidRPr="00C724A2">
        <w:rPr>
          <w:rFonts w:cs="Arial"/>
          <w:szCs w:val="20"/>
        </w:rPr>
        <w:t xml:space="preserve">Copyright de las fotografías: </w:t>
      </w:r>
      <w:proofErr w:type="spellStart"/>
      <w:r w:rsidRPr="00C724A2">
        <w:rPr>
          <w:rFonts w:cs="Arial"/>
          <w:szCs w:val="20"/>
        </w:rPr>
        <w:t>Fronius</w:t>
      </w:r>
      <w:proofErr w:type="spellEnd"/>
      <w:r w:rsidRPr="00C724A2">
        <w:rPr>
          <w:rFonts w:cs="Arial"/>
          <w:szCs w:val="20"/>
        </w:rPr>
        <w:t xml:space="preserve"> International </w:t>
      </w:r>
      <w:proofErr w:type="spellStart"/>
      <w:r w:rsidRPr="00C724A2">
        <w:rPr>
          <w:rFonts w:cs="Arial"/>
          <w:szCs w:val="20"/>
        </w:rPr>
        <w:t>GmbH</w:t>
      </w:r>
      <w:proofErr w:type="spellEnd"/>
      <w:r w:rsidRPr="00C724A2">
        <w:rPr>
          <w:rFonts w:cs="Arial"/>
          <w:szCs w:val="20"/>
        </w:rPr>
        <w:t>, reproducción sin costo</w:t>
      </w:r>
    </w:p>
    <w:p w14:paraId="6CCEBEC3" w14:textId="77777777" w:rsidR="005C1E45" w:rsidRPr="00C724A2" w:rsidRDefault="005C1E45" w:rsidP="005C1E45">
      <w:pPr>
        <w:rPr>
          <w:rFonts w:cs="Arial"/>
          <w:szCs w:val="20"/>
        </w:rPr>
      </w:pPr>
    </w:p>
    <w:p w14:paraId="52792AE3" w14:textId="77777777" w:rsidR="005C1E45" w:rsidRPr="00C724A2" w:rsidRDefault="005C1E45" w:rsidP="005C1E45">
      <w:pPr>
        <w:rPr>
          <w:rFonts w:cs="Arial"/>
          <w:szCs w:val="20"/>
        </w:rPr>
      </w:pPr>
      <w:r w:rsidRPr="00C724A2">
        <w:rPr>
          <w:rFonts w:cs="Arial"/>
          <w:szCs w:val="20"/>
        </w:rPr>
        <w:t>Imágenes de alta resolución están disponibles para descargar del siguiente enlace:</w:t>
      </w:r>
    </w:p>
    <w:p w14:paraId="0D6F1D9C" w14:textId="77777777" w:rsidR="005C1E45" w:rsidRPr="00C724A2" w:rsidRDefault="005C1E45" w:rsidP="005C1E45">
      <w:pPr>
        <w:rPr>
          <w:rFonts w:cs="Arial"/>
          <w:szCs w:val="20"/>
        </w:rPr>
      </w:pPr>
      <w:hyperlink r:id="rId18" w:history="1">
        <w:r w:rsidRPr="00C724A2">
          <w:rPr>
            <w:rStyle w:val="Hyperlink"/>
            <w:rFonts w:cs="Arial"/>
            <w:bCs/>
            <w:iCs/>
            <w:snapToGrid w:val="0"/>
            <w:szCs w:val="20"/>
            <w:lang w:val="pt-BR"/>
          </w:rPr>
          <w:t>www.fronius.com/en/welding-technology/infocentre/press</w:t>
        </w:r>
      </w:hyperlink>
    </w:p>
    <w:p w14:paraId="7ACFA6A9" w14:textId="77777777" w:rsidR="005C1E45" w:rsidRDefault="005C1E45" w:rsidP="005C1E45">
      <w:pPr>
        <w:rPr>
          <w:rFonts w:cs="Arial"/>
          <w:b/>
          <w:szCs w:val="20"/>
        </w:rPr>
      </w:pPr>
    </w:p>
    <w:p w14:paraId="13D953D3" w14:textId="77777777" w:rsidR="005C1E45" w:rsidRPr="00C724A2" w:rsidRDefault="005C1E45" w:rsidP="005C1E45">
      <w:pPr>
        <w:rPr>
          <w:rFonts w:cs="Arial"/>
          <w:b/>
          <w:szCs w:val="20"/>
        </w:rPr>
      </w:pPr>
    </w:p>
    <w:p w14:paraId="0B399C0E" w14:textId="77777777" w:rsidR="005C1E45" w:rsidRPr="00C724A2" w:rsidRDefault="005C1E45" w:rsidP="005C1E45">
      <w:pPr>
        <w:rPr>
          <w:rFonts w:cs="Arial"/>
          <w:b/>
          <w:szCs w:val="20"/>
        </w:rPr>
      </w:pPr>
    </w:p>
    <w:p w14:paraId="3C2485E6" w14:textId="77777777" w:rsidR="005C1E45" w:rsidRPr="00C724A2" w:rsidRDefault="005C1E45" w:rsidP="005C1E45">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t>
      </w:r>
      <w:proofErr w:type="spellStart"/>
      <w:r w:rsidRPr="00C724A2">
        <w:rPr>
          <w:rFonts w:cs="Arial"/>
          <w:b/>
          <w:szCs w:val="20"/>
        </w:rPr>
        <w:t>Welding</w:t>
      </w:r>
      <w:proofErr w:type="spellEnd"/>
    </w:p>
    <w:p w14:paraId="6031A6F6" w14:textId="77777777" w:rsidR="005C1E45" w:rsidRPr="00C724A2" w:rsidRDefault="005C1E45" w:rsidP="005C1E45">
      <w:pPr>
        <w:rPr>
          <w:rFonts w:cs="Arial"/>
          <w:szCs w:val="20"/>
        </w:rPr>
      </w:pP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es el líder en innovación para soldadura por resistencia por puntos y arco voltaico, y es líder en el mercado global para soldadura robótica. Como proveedor de Sistemas.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siempre está cerca de sus clientes. </w:t>
      </w:r>
    </w:p>
    <w:p w14:paraId="6BDF2679" w14:textId="77777777" w:rsidR="005C1E45" w:rsidRPr="00C724A2" w:rsidRDefault="005C1E45" w:rsidP="005C1E45">
      <w:pPr>
        <w:rPr>
          <w:rFonts w:cs="Arial"/>
          <w:b/>
          <w:szCs w:val="20"/>
        </w:rPr>
      </w:pPr>
    </w:p>
    <w:p w14:paraId="6AD3DA81" w14:textId="77777777" w:rsidR="005C1E45" w:rsidRPr="00C724A2" w:rsidRDefault="005C1E45" w:rsidP="005C1E45">
      <w:pPr>
        <w:rPr>
          <w:rFonts w:cs="Arial"/>
          <w:b/>
          <w:szCs w:val="20"/>
        </w:rPr>
      </w:pPr>
      <w:proofErr w:type="spellStart"/>
      <w:r w:rsidRPr="00C724A2">
        <w:rPr>
          <w:rFonts w:cs="Arial"/>
          <w:b/>
          <w:szCs w:val="20"/>
        </w:rPr>
        <w:t>Fronius</w:t>
      </w:r>
      <w:proofErr w:type="spellEnd"/>
      <w:r w:rsidRPr="00C724A2">
        <w:rPr>
          <w:rFonts w:cs="Arial"/>
          <w:b/>
          <w:szCs w:val="20"/>
        </w:rPr>
        <w:t xml:space="preserve"> International </w:t>
      </w:r>
      <w:proofErr w:type="spellStart"/>
      <w:r w:rsidRPr="00C724A2">
        <w:rPr>
          <w:rFonts w:cs="Arial"/>
          <w:b/>
          <w:szCs w:val="20"/>
        </w:rPr>
        <w:t>GmbH</w:t>
      </w:r>
      <w:proofErr w:type="spellEnd"/>
    </w:p>
    <w:p w14:paraId="5C726C17" w14:textId="77777777" w:rsidR="005C1E45" w:rsidRPr="00C724A2" w:rsidRDefault="005C1E45" w:rsidP="005C1E45">
      <w:pPr>
        <w:rPr>
          <w:rFonts w:cs="Arial"/>
          <w:szCs w:val="20"/>
        </w:rPr>
      </w:pPr>
      <w:proofErr w:type="spellStart"/>
      <w:r w:rsidRPr="00C724A2">
        <w:rPr>
          <w:rFonts w:cs="Arial"/>
          <w:szCs w:val="20"/>
        </w:rPr>
        <w:t>Fronius</w:t>
      </w:r>
      <w:proofErr w:type="spellEnd"/>
      <w:r w:rsidRPr="00C724A2">
        <w:rPr>
          <w:rFonts w:cs="Arial"/>
          <w:szCs w:val="20"/>
        </w:rPr>
        <w:t xml:space="preserve"> International </w:t>
      </w:r>
      <w:proofErr w:type="spellStart"/>
      <w:r w:rsidRPr="00C724A2">
        <w:rPr>
          <w:rFonts w:cs="Arial"/>
          <w:szCs w:val="20"/>
        </w:rPr>
        <w:t>GmbH</w:t>
      </w:r>
      <w:proofErr w:type="spellEnd"/>
      <w:r w:rsidRPr="00C724A2">
        <w:rPr>
          <w:rFonts w:cs="Arial"/>
          <w:szCs w:val="20"/>
        </w:rPr>
        <w:t xml:space="preserve">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92</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w:t>
      </w:r>
      <w:proofErr w:type="spellStart"/>
      <w:r w:rsidRPr="00C724A2">
        <w:rPr>
          <w:rFonts w:cs="Arial"/>
          <w:szCs w:val="20"/>
        </w:rPr>
        <w:t>Fronius</w:t>
      </w:r>
      <w:proofErr w:type="spellEnd"/>
      <w:r w:rsidRPr="00C724A2">
        <w:rPr>
          <w:rFonts w:cs="Arial"/>
          <w:szCs w:val="20"/>
        </w:rPr>
        <w:t xml:space="preserve"> y distribuidores/representantes en más de 60 países. </w:t>
      </w:r>
      <w:proofErr w:type="spellStart"/>
      <w:r w:rsidRPr="00C724A2">
        <w:rPr>
          <w:rFonts w:cs="Arial"/>
          <w:szCs w:val="20"/>
        </w:rPr>
        <w:t>Fronius</w:t>
      </w:r>
      <w:proofErr w:type="spellEnd"/>
      <w:r w:rsidRPr="00C724A2">
        <w:rPr>
          <w:rFonts w:cs="Arial"/>
          <w:szCs w:val="20"/>
        </w:rPr>
        <w:t xml:space="preserve"> es líder en innovación en el mercado mundial gracias a sus productos innovadores y</w:t>
      </w:r>
      <w:r>
        <w:rPr>
          <w:rFonts w:cs="Arial"/>
          <w:szCs w:val="20"/>
        </w:rPr>
        <w:t xml:space="preserve"> servicios, así como a las 1.253</w:t>
      </w:r>
      <w:r w:rsidRPr="00C724A2">
        <w:rPr>
          <w:rFonts w:cs="Arial"/>
          <w:szCs w:val="20"/>
        </w:rPr>
        <w:t xml:space="preserve"> patentes concedidas.</w:t>
      </w:r>
    </w:p>
    <w:p w14:paraId="2CA9977B" w14:textId="77777777" w:rsidR="005C1E45" w:rsidRPr="00C724A2" w:rsidRDefault="005C1E45" w:rsidP="005C1E45">
      <w:pPr>
        <w:pStyle w:val="Textkrper2"/>
        <w:spacing w:after="0" w:line="240" w:lineRule="auto"/>
        <w:ind w:right="-254"/>
        <w:rPr>
          <w:rFonts w:cs="Arial"/>
          <w:szCs w:val="20"/>
        </w:rPr>
      </w:pPr>
    </w:p>
    <w:p w14:paraId="01251D75" w14:textId="77777777" w:rsidR="005C1E45" w:rsidRPr="00C724A2" w:rsidRDefault="005C1E45" w:rsidP="005C1E45">
      <w:pPr>
        <w:pStyle w:val="Textkrper2"/>
        <w:spacing w:after="0" w:line="240" w:lineRule="auto"/>
        <w:ind w:right="-254"/>
        <w:rPr>
          <w:rFonts w:cs="Arial"/>
          <w:i/>
          <w:iCs/>
          <w:szCs w:val="20"/>
        </w:rPr>
      </w:pPr>
    </w:p>
    <w:p w14:paraId="07E7C7D5" w14:textId="77777777" w:rsidR="005C1E45" w:rsidRPr="00C724A2" w:rsidRDefault="005C1E45" w:rsidP="005C1E45">
      <w:pPr>
        <w:pStyle w:val="Textkrper2"/>
        <w:spacing w:after="0" w:line="240" w:lineRule="auto"/>
        <w:ind w:right="-254"/>
        <w:rPr>
          <w:rFonts w:cs="Arial"/>
          <w:i/>
          <w:iCs/>
          <w:szCs w:val="20"/>
        </w:rPr>
      </w:pPr>
    </w:p>
    <w:p w14:paraId="61E9DDF1" w14:textId="77777777" w:rsidR="005C1E45" w:rsidRPr="00C724A2" w:rsidRDefault="005C1E45" w:rsidP="005C1E45">
      <w:pPr>
        <w:autoSpaceDE w:val="0"/>
        <w:autoSpaceDN w:val="0"/>
        <w:adjustRightInd w:val="0"/>
        <w:rPr>
          <w:rFonts w:cs="Arial"/>
          <w:szCs w:val="20"/>
        </w:rPr>
      </w:pPr>
      <w:r w:rsidRPr="00C724A2">
        <w:rPr>
          <w:rFonts w:cs="Arial"/>
          <w:b/>
          <w:iCs/>
          <w:noProof/>
          <w:szCs w:val="20"/>
        </w:rPr>
        <w:lastRenderedPageBreak/>
        <w:t>Para más información, por favor diríjase al:</w:t>
      </w:r>
      <w:r w:rsidRPr="00C724A2">
        <w:rPr>
          <w:rFonts w:cs="Arial"/>
          <w:b/>
          <w:iCs/>
          <w:szCs w:val="20"/>
        </w:rPr>
        <w:br/>
      </w:r>
      <w:proofErr w:type="spellStart"/>
      <w:r w:rsidRPr="00C724A2">
        <w:rPr>
          <w:rFonts w:cs="Arial"/>
          <w:szCs w:val="20"/>
        </w:rPr>
        <w:t>Fronius</w:t>
      </w:r>
      <w:proofErr w:type="spellEnd"/>
      <w:r w:rsidRPr="00C724A2">
        <w:rPr>
          <w:rFonts w:cs="Arial"/>
          <w:szCs w:val="20"/>
        </w:rPr>
        <w:t xml:space="preserve"> México S.A., </w:t>
      </w:r>
      <w:r>
        <w:rPr>
          <w:rFonts w:cs="Arial"/>
          <w:szCs w:val="20"/>
        </w:rPr>
        <w:t xml:space="preserve">Servando </w:t>
      </w:r>
      <w:proofErr w:type="spellStart"/>
      <w:r>
        <w:rPr>
          <w:rFonts w:cs="Arial"/>
          <w:szCs w:val="20"/>
        </w:rPr>
        <w:t>Juarez</w:t>
      </w:r>
      <w:proofErr w:type="spellEnd"/>
      <w:r>
        <w:rPr>
          <w:rFonts w:cs="Arial"/>
          <w:szCs w:val="20"/>
        </w:rPr>
        <w:t xml:space="preserve"> </w:t>
      </w:r>
    </w:p>
    <w:p w14:paraId="63F4484B" w14:textId="77777777" w:rsidR="005C1E45" w:rsidRPr="00C724A2" w:rsidRDefault="005C1E45" w:rsidP="005C1E45">
      <w:pPr>
        <w:autoSpaceDE w:val="0"/>
        <w:autoSpaceDN w:val="0"/>
        <w:adjustRightInd w:val="0"/>
        <w:rPr>
          <w:rFonts w:cs="Arial"/>
          <w:szCs w:val="20"/>
        </w:rPr>
      </w:pPr>
      <w:r w:rsidRPr="00C724A2">
        <w:rPr>
          <w:rFonts w:cs="Arial"/>
          <w:szCs w:val="20"/>
        </w:rPr>
        <w:t>Carretera Monterrey Saltillo 3279 E, Santa Catarina, NL, 66367, México</w:t>
      </w:r>
    </w:p>
    <w:p w14:paraId="2D865065" w14:textId="77777777" w:rsidR="005C1E45" w:rsidRPr="00C724A2" w:rsidRDefault="005C1E45" w:rsidP="005C1E45">
      <w:pPr>
        <w:autoSpaceDE w:val="0"/>
        <w:autoSpaceDN w:val="0"/>
        <w:adjustRightInd w:val="0"/>
        <w:rPr>
          <w:rFonts w:cs="Arial"/>
          <w:szCs w:val="20"/>
        </w:rPr>
      </w:pPr>
      <w:r w:rsidRPr="00C724A2">
        <w:rPr>
          <w:rFonts w:cs="Arial"/>
          <w:szCs w:val="20"/>
        </w:rPr>
        <w:t xml:space="preserve">Tel.: </w:t>
      </w:r>
      <w:r w:rsidRPr="00B250F7">
        <w:rPr>
          <w:rFonts w:cs="Arial"/>
          <w:szCs w:val="20"/>
        </w:rPr>
        <w:t>+52 81 88828200</w:t>
      </w:r>
    </w:p>
    <w:p w14:paraId="14C702CB" w14:textId="77777777" w:rsidR="005C1E45" w:rsidRDefault="005C1E45" w:rsidP="005C1E45">
      <w:pPr>
        <w:autoSpaceDE w:val="0"/>
        <w:autoSpaceDN w:val="0"/>
        <w:adjustRightInd w:val="0"/>
        <w:rPr>
          <w:rFonts w:cs="Arial"/>
          <w:szCs w:val="20"/>
        </w:rPr>
      </w:pPr>
      <w:r w:rsidRPr="00C724A2">
        <w:rPr>
          <w:rFonts w:cs="Arial"/>
          <w:szCs w:val="20"/>
        </w:rPr>
        <w:t xml:space="preserve">Correo electrónico: </w:t>
      </w:r>
      <w:hyperlink r:id="rId19" w:history="1">
        <w:r w:rsidRPr="002117D1">
          <w:rPr>
            <w:rStyle w:val="Hyperlink"/>
            <w:rFonts w:cs="Arial"/>
            <w:szCs w:val="20"/>
          </w:rPr>
          <w:t>Juarez.Servando@fronius.com</w:t>
        </w:r>
      </w:hyperlink>
    </w:p>
    <w:p w14:paraId="31C2DFE4" w14:textId="77777777" w:rsidR="005C1E45" w:rsidRPr="00C724A2" w:rsidRDefault="005C1E45" w:rsidP="005C1E45">
      <w:pPr>
        <w:autoSpaceDE w:val="0"/>
        <w:autoSpaceDN w:val="0"/>
        <w:adjustRightInd w:val="0"/>
        <w:rPr>
          <w:rFonts w:cs="Arial"/>
          <w:szCs w:val="20"/>
        </w:rPr>
      </w:pPr>
    </w:p>
    <w:p w14:paraId="1C1405DF" w14:textId="77777777" w:rsidR="005C1E45" w:rsidRPr="00C724A2" w:rsidRDefault="005C1E45" w:rsidP="005C1E45">
      <w:pPr>
        <w:autoSpaceDE w:val="0"/>
        <w:autoSpaceDN w:val="0"/>
        <w:adjustRightInd w:val="0"/>
        <w:rPr>
          <w:rFonts w:cs="Arial"/>
          <w:color w:val="000000"/>
          <w:szCs w:val="20"/>
        </w:rPr>
      </w:pPr>
    </w:p>
    <w:p w14:paraId="4731FFE6" w14:textId="77777777" w:rsidR="005C1E45" w:rsidRPr="00C724A2" w:rsidRDefault="005C1E45" w:rsidP="005C1E45">
      <w:pPr>
        <w:pStyle w:val="Textkrper2"/>
        <w:spacing w:after="0" w:line="240" w:lineRule="auto"/>
        <w:ind w:right="29"/>
        <w:rPr>
          <w:rFonts w:cs="Arial"/>
          <w:b/>
          <w:szCs w:val="20"/>
        </w:rPr>
      </w:pPr>
      <w:r w:rsidRPr="00C724A2">
        <w:rPr>
          <w:rFonts w:cs="Arial"/>
          <w:b/>
          <w:szCs w:val="20"/>
        </w:rPr>
        <w:t>Por favor, envíe un ejemplar de prueba a nuestra agencia:</w:t>
      </w:r>
    </w:p>
    <w:p w14:paraId="6432E3C2" w14:textId="77777777" w:rsidR="005C1E45" w:rsidRPr="00C724A2" w:rsidRDefault="005C1E45" w:rsidP="005C1E45">
      <w:pPr>
        <w:pStyle w:val="Textkrper2"/>
        <w:spacing w:after="0" w:line="240" w:lineRule="auto"/>
        <w:ind w:right="29"/>
        <w:rPr>
          <w:rFonts w:cs="Arial"/>
          <w:szCs w:val="20"/>
          <w:lang w:val="de-DE"/>
        </w:rPr>
      </w:pPr>
      <w:r w:rsidRPr="00C724A2">
        <w:rPr>
          <w:rFonts w:cs="Arial"/>
          <w:szCs w:val="20"/>
          <w:lang w:val="de-DE"/>
        </w:rPr>
        <w:t>a1kommunikation Schweizer GmbH, Señora Kirsten Ludwig,</w:t>
      </w:r>
    </w:p>
    <w:p w14:paraId="0F587514" w14:textId="77777777" w:rsidR="005C1E45" w:rsidRPr="00C724A2" w:rsidRDefault="005C1E45" w:rsidP="005C1E45">
      <w:pPr>
        <w:pStyle w:val="Textkrper2"/>
        <w:spacing w:after="0" w:line="240" w:lineRule="auto"/>
        <w:ind w:right="29"/>
        <w:rPr>
          <w:rFonts w:cs="Arial"/>
          <w:szCs w:val="20"/>
        </w:rPr>
      </w:pPr>
      <w:r w:rsidRPr="00C724A2">
        <w:rPr>
          <w:rFonts w:cs="Arial"/>
          <w:szCs w:val="20"/>
        </w:rPr>
        <w:t xml:space="preserve">Oberdorfstraße 31 A, D – 70794 </w:t>
      </w:r>
      <w:proofErr w:type="spellStart"/>
      <w:r w:rsidRPr="00C724A2">
        <w:rPr>
          <w:rFonts w:cs="Arial"/>
          <w:szCs w:val="20"/>
        </w:rPr>
        <w:t>Filderstadt</w:t>
      </w:r>
      <w:proofErr w:type="spellEnd"/>
      <w:r w:rsidRPr="00C724A2">
        <w:rPr>
          <w:rFonts w:cs="Arial"/>
          <w:szCs w:val="20"/>
        </w:rPr>
        <w:t>,</w:t>
      </w:r>
    </w:p>
    <w:p w14:paraId="4F902D72" w14:textId="77777777" w:rsidR="005C1E45" w:rsidRPr="00C724A2" w:rsidRDefault="005C1E45" w:rsidP="005C1E45">
      <w:pPr>
        <w:rPr>
          <w:rFonts w:cs="Arial"/>
          <w:szCs w:val="20"/>
        </w:rPr>
      </w:pPr>
      <w:r w:rsidRPr="00C724A2">
        <w:rPr>
          <w:rFonts w:cs="Arial"/>
          <w:szCs w:val="20"/>
        </w:rPr>
        <w:t xml:space="preserve">tel.: +49 (0)711 9454161-20, correo electrónico: </w:t>
      </w:r>
      <w:hyperlink r:id="rId20">
        <w:r w:rsidRPr="00C724A2">
          <w:rPr>
            <w:rStyle w:val="Hyperlink"/>
            <w:rFonts w:cs="Arial"/>
            <w:szCs w:val="20"/>
          </w:rPr>
          <w:t>Kirsten.Ludwig@a1kommunikation.de</w:t>
        </w:r>
      </w:hyperlink>
    </w:p>
    <w:p w14:paraId="692C5C8E" w14:textId="77777777" w:rsidR="005C1E45" w:rsidRDefault="005C1E45" w:rsidP="005C1E45">
      <w:pPr>
        <w:rPr>
          <w:rFonts w:cs="Arial"/>
          <w:szCs w:val="20"/>
        </w:rPr>
      </w:pPr>
    </w:p>
    <w:p w14:paraId="65E7B43C" w14:textId="77777777" w:rsidR="005C1E45" w:rsidRDefault="005C1E45" w:rsidP="005C1E45">
      <w:pPr>
        <w:rPr>
          <w:rFonts w:cs="Arial"/>
          <w:szCs w:val="20"/>
        </w:rPr>
      </w:pPr>
    </w:p>
    <w:p w14:paraId="04FA5D48" w14:textId="77777777" w:rsidR="005C1E45" w:rsidRPr="00C724A2" w:rsidRDefault="005C1E45" w:rsidP="005C1E45">
      <w:pPr>
        <w:rPr>
          <w:rFonts w:cs="Arial"/>
          <w:szCs w:val="20"/>
        </w:rPr>
      </w:pPr>
      <w:r w:rsidRPr="00A65B2D">
        <w:rPr>
          <w:rFonts w:cs="Arial"/>
          <w:szCs w:val="20"/>
        </w:rPr>
        <w:t>¡Para obtener actualizaciones más interesantes, visite nuestro blog en blog.perfectwelding.fronius.com y síganos en Facebook (</w:t>
      </w:r>
      <w:proofErr w:type="spellStart"/>
      <w:r w:rsidRPr="00A65B2D">
        <w:rPr>
          <w:rFonts w:cs="Arial"/>
          <w:szCs w:val="20"/>
        </w:rPr>
        <w:t>froniuswelding</w:t>
      </w:r>
      <w:proofErr w:type="spellEnd"/>
      <w:r w:rsidRPr="00A65B2D">
        <w:rPr>
          <w:rFonts w:cs="Arial"/>
          <w:szCs w:val="20"/>
        </w:rPr>
        <w:t>), Twitter (</w:t>
      </w:r>
      <w:proofErr w:type="spellStart"/>
      <w:r w:rsidRPr="00A65B2D">
        <w:rPr>
          <w:rFonts w:cs="Arial"/>
          <w:szCs w:val="20"/>
        </w:rPr>
        <w:t>froniusintweld</w:t>
      </w:r>
      <w:proofErr w:type="spellEnd"/>
      <w:r w:rsidRPr="00A65B2D">
        <w:rPr>
          <w:rFonts w:cs="Arial"/>
          <w:szCs w:val="20"/>
        </w:rPr>
        <w:t>), LinkedIn (</w:t>
      </w:r>
      <w:proofErr w:type="spellStart"/>
      <w:r w:rsidRPr="00A65B2D">
        <w:rPr>
          <w:rFonts w:cs="Arial"/>
          <w:szCs w:val="20"/>
        </w:rPr>
        <w:t>perfect-welding</w:t>
      </w:r>
      <w:proofErr w:type="spellEnd"/>
      <w:r w:rsidRPr="00A65B2D">
        <w:rPr>
          <w:rFonts w:cs="Arial"/>
          <w:szCs w:val="20"/>
        </w:rPr>
        <w:t>), Instagram (</w:t>
      </w:r>
      <w:proofErr w:type="spellStart"/>
      <w:r w:rsidRPr="00A65B2D">
        <w:rPr>
          <w:rFonts w:cs="Arial"/>
          <w:szCs w:val="20"/>
        </w:rPr>
        <w:t>froniuswelding</w:t>
      </w:r>
      <w:proofErr w:type="spellEnd"/>
      <w:r w:rsidRPr="00A65B2D">
        <w:rPr>
          <w:rFonts w:cs="Arial"/>
          <w:szCs w:val="20"/>
        </w:rPr>
        <w:t>) y YouTube (</w:t>
      </w:r>
      <w:proofErr w:type="spellStart"/>
      <w:r w:rsidRPr="00A65B2D">
        <w:rPr>
          <w:rFonts w:cs="Arial"/>
          <w:szCs w:val="20"/>
        </w:rPr>
        <w:t>froniuswelding</w:t>
      </w:r>
      <w:proofErr w:type="spellEnd"/>
      <w:r w:rsidRPr="00A65B2D">
        <w:rPr>
          <w:rFonts w:cs="Arial"/>
          <w:szCs w:val="20"/>
        </w:rPr>
        <w:t>)!</w:t>
      </w:r>
    </w:p>
    <w:p w14:paraId="4B9D9159" w14:textId="77777777" w:rsidR="009D3B05" w:rsidRPr="005C1E45" w:rsidRDefault="009D3B05" w:rsidP="005C1E45">
      <w:pPr>
        <w:rPr>
          <w:rFonts w:cs="Arial"/>
          <w:szCs w:val="20"/>
        </w:rPr>
      </w:pPr>
    </w:p>
    <w:sectPr w:rsidR="009D3B05" w:rsidRPr="005C1E45"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1388" w14:textId="77777777" w:rsidR="00E40234" w:rsidRDefault="00E40234" w:rsidP="00B95BF4">
      <w:r>
        <w:separator/>
      </w:r>
    </w:p>
  </w:endnote>
  <w:endnote w:type="continuationSeparator" w:id="0">
    <w:p w14:paraId="7F44CC26" w14:textId="77777777" w:rsidR="00E40234" w:rsidRDefault="00E40234"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BAD9"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F537CA">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F537CA">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73A9" w14:textId="77777777" w:rsidR="00E40234" w:rsidRDefault="00E40234" w:rsidP="00B95BF4">
      <w:r>
        <w:separator/>
      </w:r>
    </w:p>
  </w:footnote>
  <w:footnote w:type="continuationSeparator" w:id="0">
    <w:p w14:paraId="5576D207" w14:textId="77777777" w:rsidR="00E40234" w:rsidRDefault="00E40234"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60BF" w14:textId="77777777" w:rsidR="001418FA" w:rsidRDefault="006C5D8F">
    <w:r>
      <w:rPr>
        <w:noProof/>
        <w:lang w:val="de-AT" w:eastAsia="de-AT"/>
      </w:rPr>
      <w:drawing>
        <wp:anchor distT="0" distB="0" distL="114300" distR="114300" simplePos="0" relativeHeight="251657728" behindDoc="1" locked="0" layoutInCell="1" allowOverlap="1" wp14:anchorId="0D1D3FE9" wp14:editId="36298A1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3A52"/>
    <w:rsid w:val="000C3DA5"/>
    <w:rsid w:val="000C7498"/>
    <w:rsid w:val="000D3094"/>
    <w:rsid w:val="000D316F"/>
    <w:rsid w:val="000D4238"/>
    <w:rsid w:val="000E459D"/>
    <w:rsid w:val="000F1908"/>
    <w:rsid w:val="000F3585"/>
    <w:rsid w:val="000F5430"/>
    <w:rsid w:val="000F6B85"/>
    <w:rsid w:val="000F7051"/>
    <w:rsid w:val="000F79FA"/>
    <w:rsid w:val="00104498"/>
    <w:rsid w:val="00107262"/>
    <w:rsid w:val="00111FB8"/>
    <w:rsid w:val="001147ED"/>
    <w:rsid w:val="001148AA"/>
    <w:rsid w:val="00114FA9"/>
    <w:rsid w:val="0013069A"/>
    <w:rsid w:val="001310AB"/>
    <w:rsid w:val="00131EA2"/>
    <w:rsid w:val="001343DB"/>
    <w:rsid w:val="00134FCE"/>
    <w:rsid w:val="001418FA"/>
    <w:rsid w:val="00142BA2"/>
    <w:rsid w:val="001435E3"/>
    <w:rsid w:val="001530A1"/>
    <w:rsid w:val="00153C92"/>
    <w:rsid w:val="00155F5A"/>
    <w:rsid w:val="00156594"/>
    <w:rsid w:val="001617FB"/>
    <w:rsid w:val="00163C85"/>
    <w:rsid w:val="00166509"/>
    <w:rsid w:val="0017721C"/>
    <w:rsid w:val="001876C7"/>
    <w:rsid w:val="00192BA6"/>
    <w:rsid w:val="001A000F"/>
    <w:rsid w:val="001A60FA"/>
    <w:rsid w:val="001B07BA"/>
    <w:rsid w:val="001B31BA"/>
    <w:rsid w:val="001C0A99"/>
    <w:rsid w:val="001C1C9C"/>
    <w:rsid w:val="001C5BCA"/>
    <w:rsid w:val="001C69BE"/>
    <w:rsid w:val="001C796E"/>
    <w:rsid w:val="001D3408"/>
    <w:rsid w:val="001D7DFC"/>
    <w:rsid w:val="001D7F55"/>
    <w:rsid w:val="001E463E"/>
    <w:rsid w:val="001F0A6A"/>
    <w:rsid w:val="001F0CC2"/>
    <w:rsid w:val="001F20B5"/>
    <w:rsid w:val="001F2E3B"/>
    <w:rsid w:val="001F427C"/>
    <w:rsid w:val="001F447D"/>
    <w:rsid w:val="00201204"/>
    <w:rsid w:val="0020310E"/>
    <w:rsid w:val="002102E7"/>
    <w:rsid w:val="00217B32"/>
    <w:rsid w:val="00221602"/>
    <w:rsid w:val="002219CE"/>
    <w:rsid w:val="00227F9C"/>
    <w:rsid w:val="00230C60"/>
    <w:rsid w:val="00232846"/>
    <w:rsid w:val="002357F0"/>
    <w:rsid w:val="00241673"/>
    <w:rsid w:val="00244A05"/>
    <w:rsid w:val="002471BF"/>
    <w:rsid w:val="002509CB"/>
    <w:rsid w:val="00251D20"/>
    <w:rsid w:val="00252702"/>
    <w:rsid w:val="00256BC9"/>
    <w:rsid w:val="00262FAC"/>
    <w:rsid w:val="00271AE5"/>
    <w:rsid w:val="00275090"/>
    <w:rsid w:val="00280735"/>
    <w:rsid w:val="002820F2"/>
    <w:rsid w:val="00283096"/>
    <w:rsid w:val="00283F56"/>
    <w:rsid w:val="002937C4"/>
    <w:rsid w:val="002A1356"/>
    <w:rsid w:val="002A1C1A"/>
    <w:rsid w:val="002A21B3"/>
    <w:rsid w:val="002A2E7F"/>
    <w:rsid w:val="002A639C"/>
    <w:rsid w:val="002A7D11"/>
    <w:rsid w:val="002B00C8"/>
    <w:rsid w:val="002B21C3"/>
    <w:rsid w:val="002B2873"/>
    <w:rsid w:val="002C5176"/>
    <w:rsid w:val="002C6D84"/>
    <w:rsid w:val="002D42FD"/>
    <w:rsid w:val="002D685F"/>
    <w:rsid w:val="002E021F"/>
    <w:rsid w:val="002E18FC"/>
    <w:rsid w:val="002E6B82"/>
    <w:rsid w:val="002E7110"/>
    <w:rsid w:val="002E7136"/>
    <w:rsid w:val="002E7461"/>
    <w:rsid w:val="002F35E2"/>
    <w:rsid w:val="002F4D51"/>
    <w:rsid w:val="002F6645"/>
    <w:rsid w:val="002F7894"/>
    <w:rsid w:val="00305F75"/>
    <w:rsid w:val="00306869"/>
    <w:rsid w:val="00307DAC"/>
    <w:rsid w:val="0031548A"/>
    <w:rsid w:val="00315D72"/>
    <w:rsid w:val="00316BD6"/>
    <w:rsid w:val="00327E0E"/>
    <w:rsid w:val="00332262"/>
    <w:rsid w:val="00334AB3"/>
    <w:rsid w:val="00343A86"/>
    <w:rsid w:val="003446A8"/>
    <w:rsid w:val="003505E3"/>
    <w:rsid w:val="00353098"/>
    <w:rsid w:val="00355F53"/>
    <w:rsid w:val="00355F8C"/>
    <w:rsid w:val="003611C7"/>
    <w:rsid w:val="00362007"/>
    <w:rsid w:val="003635BF"/>
    <w:rsid w:val="00364594"/>
    <w:rsid w:val="00371551"/>
    <w:rsid w:val="003723E9"/>
    <w:rsid w:val="00374051"/>
    <w:rsid w:val="00377B4F"/>
    <w:rsid w:val="00391733"/>
    <w:rsid w:val="00397D0F"/>
    <w:rsid w:val="003A101F"/>
    <w:rsid w:val="003A5177"/>
    <w:rsid w:val="003A63D8"/>
    <w:rsid w:val="003A6EB3"/>
    <w:rsid w:val="003B5C20"/>
    <w:rsid w:val="003B7A33"/>
    <w:rsid w:val="003C36AC"/>
    <w:rsid w:val="003D0102"/>
    <w:rsid w:val="003D4771"/>
    <w:rsid w:val="003D573B"/>
    <w:rsid w:val="003E277C"/>
    <w:rsid w:val="003E3D91"/>
    <w:rsid w:val="003E6E14"/>
    <w:rsid w:val="003E7A99"/>
    <w:rsid w:val="003F3A37"/>
    <w:rsid w:val="003F4F68"/>
    <w:rsid w:val="003F6E14"/>
    <w:rsid w:val="00401432"/>
    <w:rsid w:val="00401A33"/>
    <w:rsid w:val="004021B0"/>
    <w:rsid w:val="0040631C"/>
    <w:rsid w:val="0040782D"/>
    <w:rsid w:val="00411053"/>
    <w:rsid w:val="004111DE"/>
    <w:rsid w:val="0041302B"/>
    <w:rsid w:val="004217B2"/>
    <w:rsid w:val="0043224D"/>
    <w:rsid w:val="00434D2C"/>
    <w:rsid w:val="00437A3C"/>
    <w:rsid w:val="00440FEC"/>
    <w:rsid w:val="00444419"/>
    <w:rsid w:val="004464CE"/>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460"/>
    <w:rsid w:val="004B5730"/>
    <w:rsid w:val="004C119D"/>
    <w:rsid w:val="004C3AFC"/>
    <w:rsid w:val="004C6F64"/>
    <w:rsid w:val="004D096B"/>
    <w:rsid w:val="004D0BF0"/>
    <w:rsid w:val="004D6BCE"/>
    <w:rsid w:val="004F08C4"/>
    <w:rsid w:val="004F2481"/>
    <w:rsid w:val="004F2F46"/>
    <w:rsid w:val="0050081C"/>
    <w:rsid w:val="005017D2"/>
    <w:rsid w:val="0050275D"/>
    <w:rsid w:val="005031ED"/>
    <w:rsid w:val="0050529E"/>
    <w:rsid w:val="00505D71"/>
    <w:rsid w:val="00512ECD"/>
    <w:rsid w:val="00514EB5"/>
    <w:rsid w:val="0052184E"/>
    <w:rsid w:val="00523F83"/>
    <w:rsid w:val="00526889"/>
    <w:rsid w:val="00530445"/>
    <w:rsid w:val="005358D2"/>
    <w:rsid w:val="005436F3"/>
    <w:rsid w:val="00543F1A"/>
    <w:rsid w:val="005454CE"/>
    <w:rsid w:val="00546D7A"/>
    <w:rsid w:val="00561C79"/>
    <w:rsid w:val="00572790"/>
    <w:rsid w:val="00573CE9"/>
    <w:rsid w:val="00580D7F"/>
    <w:rsid w:val="00581D30"/>
    <w:rsid w:val="00582A0C"/>
    <w:rsid w:val="00584F0C"/>
    <w:rsid w:val="00585291"/>
    <w:rsid w:val="00586FBE"/>
    <w:rsid w:val="00591296"/>
    <w:rsid w:val="00592295"/>
    <w:rsid w:val="00597AD5"/>
    <w:rsid w:val="005A4F3D"/>
    <w:rsid w:val="005B0718"/>
    <w:rsid w:val="005B1EA0"/>
    <w:rsid w:val="005B4657"/>
    <w:rsid w:val="005B6C47"/>
    <w:rsid w:val="005B7715"/>
    <w:rsid w:val="005C1E45"/>
    <w:rsid w:val="005C1F23"/>
    <w:rsid w:val="005C2630"/>
    <w:rsid w:val="005D4461"/>
    <w:rsid w:val="005D4E30"/>
    <w:rsid w:val="005D71F9"/>
    <w:rsid w:val="005D763E"/>
    <w:rsid w:val="005E3370"/>
    <w:rsid w:val="005F06F0"/>
    <w:rsid w:val="005F13D7"/>
    <w:rsid w:val="005F3A52"/>
    <w:rsid w:val="005F4B4F"/>
    <w:rsid w:val="005F50A4"/>
    <w:rsid w:val="006000A7"/>
    <w:rsid w:val="00602052"/>
    <w:rsid w:val="006021F3"/>
    <w:rsid w:val="006028B0"/>
    <w:rsid w:val="006054EA"/>
    <w:rsid w:val="006055D5"/>
    <w:rsid w:val="00605FA6"/>
    <w:rsid w:val="00613F12"/>
    <w:rsid w:val="00614684"/>
    <w:rsid w:val="00616271"/>
    <w:rsid w:val="006179C0"/>
    <w:rsid w:val="006202DC"/>
    <w:rsid w:val="00630C93"/>
    <w:rsid w:val="006321C6"/>
    <w:rsid w:val="00634414"/>
    <w:rsid w:val="00634499"/>
    <w:rsid w:val="0063630C"/>
    <w:rsid w:val="006449F8"/>
    <w:rsid w:val="00645064"/>
    <w:rsid w:val="00645E4A"/>
    <w:rsid w:val="006551B5"/>
    <w:rsid w:val="00661125"/>
    <w:rsid w:val="00661C95"/>
    <w:rsid w:val="00667BE7"/>
    <w:rsid w:val="0067612E"/>
    <w:rsid w:val="0067652B"/>
    <w:rsid w:val="0068168E"/>
    <w:rsid w:val="006820E2"/>
    <w:rsid w:val="00682A69"/>
    <w:rsid w:val="00683548"/>
    <w:rsid w:val="006856C7"/>
    <w:rsid w:val="0068704F"/>
    <w:rsid w:val="006920C3"/>
    <w:rsid w:val="00693D85"/>
    <w:rsid w:val="006A0BBF"/>
    <w:rsid w:val="006A0C98"/>
    <w:rsid w:val="006A148D"/>
    <w:rsid w:val="006A64A3"/>
    <w:rsid w:val="006B0607"/>
    <w:rsid w:val="006B154F"/>
    <w:rsid w:val="006B1A76"/>
    <w:rsid w:val="006B2007"/>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46AD"/>
    <w:rsid w:val="007054E2"/>
    <w:rsid w:val="007070DC"/>
    <w:rsid w:val="00724449"/>
    <w:rsid w:val="0073594D"/>
    <w:rsid w:val="00742B19"/>
    <w:rsid w:val="0074604A"/>
    <w:rsid w:val="0075110B"/>
    <w:rsid w:val="00752D0D"/>
    <w:rsid w:val="00753B1F"/>
    <w:rsid w:val="0075596F"/>
    <w:rsid w:val="00765AF4"/>
    <w:rsid w:val="00781113"/>
    <w:rsid w:val="00783D9E"/>
    <w:rsid w:val="00784186"/>
    <w:rsid w:val="0078545D"/>
    <w:rsid w:val="007857B6"/>
    <w:rsid w:val="007868C7"/>
    <w:rsid w:val="00786A2E"/>
    <w:rsid w:val="007876DB"/>
    <w:rsid w:val="00790419"/>
    <w:rsid w:val="0079157F"/>
    <w:rsid w:val="00792F0D"/>
    <w:rsid w:val="00794557"/>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00DAD"/>
    <w:rsid w:val="00810B30"/>
    <w:rsid w:val="00814D6D"/>
    <w:rsid w:val="008229D5"/>
    <w:rsid w:val="00823209"/>
    <w:rsid w:val="00831368"/>
    <w:rsid w:val="00847093"/>
    <w:rsid w:val="00847AE5"/>
    <w:rsid w:val="00851C40"/>
    <w:rsid w:val="008527B9"/>
    <w:rsid w:val="008548DC"/>
    <w:rsid w:val="00854CEA"/>
    <w:rsid w:val="0085519E"/>
    <w:rsid w:val="00855311"/>
    <w:rsid w:val="0085700F"/>
    <w:rsid w:val="00857BEC"/>
    <w:rsid w:val="008616CE"/>
    <w:rsid w:val="00864333"/>
    <w:rsid w:val="00864455"/>
    <w:rsid w:val="00864876"/>
    <w:rsid w:val="00866314"/>
    <w:rsid w:val="00867A57"/>
    <w:rsid w:val="00867D31"/>
    <w:rsid w:val="0087082E"/>
    <w:rsid w:val="0087310D"/>
    <w:rsid w:val="008758D5"/>
    <w:rsid w:val="0088714F"/>
    <w:rsid w:val="00887552"/>
    <w:rsid w:val="0089154A"/>
    <w:rsid w:val="00893021"/>
    <w:rsid w:val="008967EF"/>
    <w:rsid w:val="00896E4F"/>
    <w:rsid w:val="008A2AB3"/>
    <w:rsid w:val="008A31FD"/>
    <w:rsid w:val="008A4DA1"/>
    <w:rsid w:val="008B2945"/>
    <w:rsid w:val="008B523F"/>
    <w:rsid w:val="008B597B"/>
    <w:rsid w:val="008C15B9"/>
    <w:rsid w:val="008C2FB6"/>
    <w:rsid w:val="008C56E6"/>
    <w:rsid w:val="008D0873"/>
    <w:rsid w:val="008D4A91"/>
    <w:rsid w:val="008D5701"/>
    <w:rsid w:val="008D6CF2"/>
    <w:rsid w:val="008D72A4"/>
    <w:rsid w:val="008E04ED"/>
    <w:rsid w:val="008E2E3F"/>
    <w:rsid w:val="008E3435"/>
    <w:rsid w:val="008E6B74"/>
    <w:rsid w:val="008E6CC7"/>
    <w:rsid w:val="008E7EBC"/>
    <w:rsid w:val="008E7F7E"/>
    <w:rsid w:val="008F345C"/>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6FAE"/>
    <w:rsid w:val="0094770B"/>
    <w:rsid w:val="0095114F"/>
    <w:rsid w:val="0095249F"/>
    <w:rsid w:val="00953EF9"/>
    <w:rsid w:val="00954976"/>
    <w:rsid w:val="00954F03"/>
    <w:rsid w:val="00956D40"/>
    <w:rsid w:val="00957486"/>
    <w:rsid w:val="00961EE8"/>
    <w:rsid w:val="00974DFB"/>
    <w:rsid w:val="00977F64"/>
    <w:rsid w:val="00982602"/>
    <w:rsid w:val="0098454E"/>
    <w:rsid w:val="00987201"/>
    <w:rsid w:val="0099282C"/>
    <w:rsid w:val="009A0F98"/>
    <w:rsid w:val="009A2721"/>
    <w:rsid w:val="009A385C"/>
    <w:rsid w:val="009A659A"/>
    <w:rsid w:val="009B0C49"/>
    <w:rsid w:val="009B6017"/>
    <w:rsid w:val="009B7DB3"/>
    <w:rsid w:val="009C2A23"/>
    <w:rsid w:val="009C6595"/>
    <w:rsid w:val="009D1C43"/>
    <w:rsid w:val="009D3020"/>
    <w:rsid w:val="009D3B05"/>
    <w:rsid w:val="009D546A"/>
    <w:rsid w:val="009E595B"/>
    <w:rsid w:val="009E7629"/>
    <w:rsid w:val="009F052C"/>
    <w:rsid w:val="009F0857"/>
    <w:rsid w:val="009F588B"/>
    <w:rsid w:val="00A02819"/>
    <w:rsid w:val="00A033DC"/>
    <w:rsid w:val="00A10C62"/>
    <w:rsid w:val="00A12189"/>
    <w:rsid w:val="00A127AC"/>
    <w:rsid w:val="00A13E13"/>
    <w:rsid w:val="00A13E46"/>
    <w:rsid w:val="00A177A4"/>
    <w:rsid w:val="00A206DD"/>
    <w:rsid w:val="00A21C2F"/>
    <w:rsid w:val="00A22836"/>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67347"/>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123F"/>
    <w:rsid w:val="00AF4641"/>
    <w:rsid w:val="00AF635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353"/>
    <w:rsid w:val="00B775D3"/>
    <w:rsid w:val="00B8748D"/>
    <w:rsid w:val="00B903D3"/>
    <w:rsid w:val="00B95BF4"/>
    <w:rsid w:val="00BA5FCE"/>
    <w:rsid w:val="00BA6039"/>
    <w:rsid w:val="00BA66C1"/>
    <w:rsid w:val="00BA67A4"/>
    <w:rsid w:val="00BB0CEC"/>
    <w:rsid w:val="00BB20D2"/>
    <w:rsid w:val="00BB497B"/>
    <w:rsid w:val="00BB4BD4"/>
    <w:rsid w:val="00BB4E54"/>
    <w:rsid w:val="00BB78D3"/>
    <w:rsid w:val="00BC0C1A"/>
    <w:rsid w:val="00BC1981"/>
    <w:rsid w:val="00BC3DE2"/>
    <w:rsid w:val="00BC4A58"/>
    <w:rsid w:val="00BC4E79"/>
    <w:rsid w:val="00BC510C"/>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697C"/>
    <w:rsid w:val="00C3770B"/>
    <w:rsid w:val="00C407C2"/>
    <w:rsid w:val="00C419E7"/>
    <w:rsid w:val="00C45A1C"/>
    <w:rsid w:val="00C532CE"/>
    <w:rsid w:val="00C53909"/>
    <w:rsid w:val="00C53BD1"/>
    <w:rsid w:val="00C55993"/>
    <w:rsid w:val="00C57436"/>
    <w:rsid w:val="00C62674"/>
    <w:rsid w:val="00C637B5"/>
    <w:rsid w:val="00C63C38"/>
    <w:rsid w:val="00C64647"/>
    <w:rsid w:val="00C6508F"/>
    <w:rsid w:val="00C65E61"/>
    <w:rsid w:val="00C706E3"/>
    <w:rsid w:val="00C81A69"/>
    <w:rsid w:val="00C8306E"/>
    <w:rsid w:val="00C85552"/>
    <w:rsid w:val="00C90D12"/>
    <w:rsid w:val="00C92968"/>
    <w:rsid w:val="00C95B40"/>
    <w:rsid w:val="00C960EB"/>
    <w:rsid w:val="00C9757D"/>
    <w:rsid w:val="00CA3FA6"/>
    <w:rsid w:val="00CA7A2E"/>
    <w:rsid w:val="00CB251A"/>
    <w:rsid w:val="00CC1A0F"/>
    <w:rsid w:val="00CC367E"/>
    <w:rsid w:val="00CC3B16"/>
    <w:rsid w:val="00CD14B1"/>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58E5"/>
    <w:rsid w:val="00D37056"/>
    <w:rsid w:val="00D40700"/>
    <w:rsid w:val="00D44972"/>
    <w:rsid w:val="00D46504"/>
    <w:rsid w:val="00D47D8D"/>
    <w:rsid w:val="00D533E9"/>
    <w:rsid w:val="00D541DB"/>
    <w:rsid w:val="00D55915"/>
    <w:rsid w:val="00D60FF1"/>
    <w:rsid w:val="00D6121D"/>
    <w:rsid w:val="00D6161E"/>
    <w:rsid w:val="00D66911"/>
    <w:rsid w:val="00D67A69"/>
    <w:rsid w:val="00D71774"/>
    <w:rsid w:val="00D72B0E"/>
    <w:rsid w:val="00D72E53"/>
    <w:rsid w:val="00D73B2F"/>
    <w:rsid w:val="00D73F90"/>
    <w:rsid w:val="00D8281E"/>
    <w:rsid w:val="00D82837"/>
    <w:rsid w:val="00D82D37"/>
    <w:rsid w:val="00D8729C"/>
    <w:rsid w:val="00D9700C"/>
    <w:rsid w:val="00DA47C2"/>
    <w:rsid w:val="00DA654E"/>
    <w:rsid w:val="00DB70A4"/>
    <w:rsid w:val="00DB7613"/>
    <w:rsid w:val="00DC3457"/>
    <w:rsid w:val="00DC4AE7"/>
    <w:rsid w:val="00DC72A3"/>
    <w:rsid w:val="00DD1940"/>
    <w:rsid w:val="00DD3488"/>
    <w:rsid w:val="00DD3CF2"/>
    <w:rsid w:val="00DE0B25"/>
    <w:rsid w:val="00DE116D"/>
    <w:rsid w:val="00DE2C6B"/>
    <w:rsid w:val="00DF102A"/>
    <w:rsid w:val="00DF12B6"/>
    <w:rsid w:val="00DF5B43"/>
    <w:rsid w:val="00DF5CF7"/>
    <w:rsid w:val="00E01A2F"/>
    <w:rsid w:val="00E02EEA"/>
    <w:rsid w:val="00E03620"/>
    <w:rsid w:val="00E04F19"/>
    <w:rsid w:val="00E06BD4"/>
    <w:rsid w:val="00E20A77"/>
    <w:rsid w:val="00E24368"/>
    <w:rsid w:val="00E25AFA"/>
    <w:rsid w:val="00E2736B"/>
    <w:rsid w:val="00E27CFF"/>
    <w:rsid w:val="00E354C0"/>
    <w:rsid w:val="00E35A6B"/>
    <w:rsid w:val="00E40234"/>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014E"/>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1A13"/>
    <w:rsid w:val="00EB3117"/>
    <w:rsid w:val="00EB68AA"/>
    <w:rsid w:val="00EC0EC2"/>
    <w:rsid w:val="00EC3896"/>
    <w:rsid w:val="00EC5C9B"/>
    <w:rsid w:val="00EC69CF"/>
    <w:rsid w:val="00ED0BF7"/>
    <w:rsid w:val="00ED1039"/>
    <w:rsid w:val="00ED4FC0"/>
    <w:rsid w:val="00ED52BC"/>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681"/>
    <w:rsid w:val="00F13FB4"/>
    <w:rsid w:val="00F202C1"/>
    <w:rsid w:val="00F22951"/>
    <w:rsid w:val="00F26FBE"/>
    <w:rsid w:val="00F360FB"/>
    <w:rsid w:val="00F36386"/>
    <w:rsid w:val="00F40365"/>
    <w:rsid w:val="00F42A07"/>
    <w:rsid w:val="00F43392"/>
    <w:rsid w:val="00F5063F"/>
    <w:rsid w:val="00F537CA"/>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3AF3"/>
    <w:rsid w:val="00FC5C29"/>
    <w:rsid w:val="00FD0D41"/>
    <w:rsid w:val="00FD1C8A"/>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E17418"/>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MX"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MX"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MX"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MX"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MX"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ronius.com/en/welding-technology/infocentre/pr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mailto:Juarez.Servando@froniu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TI_PT xmlns="dc0c2c3d-e9fc-4a0d-820b-87ab82e65f20">TPS/i TWIN Push MX</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TPS/i TWIN Push MX</title_TI_DA>
    <Web_x0020_Display_x0020_Title_x0020_ET xmlns="dc0c2c3d-e9fc-4a0d-820b-87ab82e65f20">TPS/i TWIN Push MX</Web_x0020_Display_x0020_Title_x0020_ET>
    <title_ti_fi xmlns="dc0c2c3d-e9fc-4a0d-820b-87ab82e65f20">TPS/i TWIN Push</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TR xmlns="dc0c2c3d-e9fc-4a0d-820b-87ab82e65f20">TPS/i TWIN Push MX</title_TI_TR>
    <countryok xmlns="dc0c2c3d-e9fc-4a0d-820b-87ab82e65f20">true</countryok>
    <Documenttype_ES xmlns="dc0c2c3d-e9fc-4a0d-820b-87ab82e65f20">Información de prensa</Documenttype_ES>
    <title_ti_nb xmlns="dc0c2c3d-e9fc-4a0d-820b-87ab82e65f20">TPS/i TWIN Push</title_ti_nb>
    <title_TI_ES xmlns="dc0c2c3d-e9fc-4a0d-820b-87ab82e65f20">TPS/i TWIN Push MX</title_TI_ES>
    <Documenttype_TR xmlns="dc0c2c3d-e9fc-4a0d-820b-87ab82e65f20">Basın bülteni</Documenttype_TR>
    <VersionInternal xmlns="dc0c2c3d-e9fc-4a0d-820b-87ab82e65f20">0</VersionInternal>
    <TaxCatchAll xmlns="92f60987-cbcc-4245-baaf-239af3bfd6e8">
      <Value>259</Value>
    </TaxCatchAll>
    <Resolution xmlns="dc0c2c3d-e9fc-4a0d-820b-87ab82e65f20" xsi:nil="true"/>
    <Country xmlns="dc0c2c3d-e9fc-4a0d-820b-87ab82e65f20">
      <Value>28</Value>
      <Value>28</Value>
    </Country>
    <title_TI_DE xmlns="dc0c2c3d-e9fc-4a0d-820b-87ab82e65f20">TPS/i TWIN Push</title_TI_DE>
    <title_TI_HU xmlns="dc0c2c3d-e9fc-4a0d-820b-87ab82e65f20">TPS/i TWIN Push MX</title_TI_HU>
    <AGB xmlns="dc0c2c3d-e9fc-4a0d-820b-87ab82e65f20">false</AGB>
    <MRMKeyWords xmlns="dc0c2c3d-e9fc-4a0d-820b-87ab82e65f20">#tps i#hochleistungs-schweißen#high performance welding#twin#tps/i#highperformancewelding#tandemprozess#tps/itwinpush</MRMKeyWords>
    <Documenttype_TH xmlns="dc0c2c3d-e9fc-4a0d-820b-87ab82e65f20">ข่าวประชาสัมพันธ์</Documenttype_TH>
    <Documenttype_NL xmlns="dc0c2c3d-e9fc-4a0d-820b-87ab82e65f20">Persbericht</Documenttype_NL>
    <fro_spid xmlns="dc0c2c3d-e9fc-4a0d-820b-87ab82e65f20">9568;PW</fro_spid>
    <Colour_x0020_space xmlns="dc0c2c3d-e9fc-4a0d-820b-87ab82e65f20" xsi:nil="true"/>
    <title_TI_EA xmlns="dc0c2c3d-e9fc-4a0d-820b-87ab82e65f20">TPS/i TWIN Push</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TPS/i TWIN Push MX</title_TI_SK>
    <Update xmlns="dc0c2c3d-e9fc-4a0d-820b-87ab82e65f20">150620</Update>
    <Documenttype_AR xmlns="dc0c2c3d-e9fc-4a0d-820b-87ab82e65f20">Press Release</Documenttype_AR>
    <title_TI_IT xmlns="dc0c2c3d-e9fc-4a0d-820b-87ab82e65f20">TPS/i TWIN Push MX</title_TI_IT>
    <title_ti_zh xmlns="dc0c2c3d-e9fc-4a0d-820b-87ab82e65f20">TPS/i TWIN Push MX</title_ti_zh>
    <Division xmlns="dc0c2c3d-e9fc-4a0d-820b-87ab82e65f20">Perfect Welding</Division>
    <title_TI_UA xmlns="dc0c2c3d-e9fc-4a0d-820b-87ab82e65f20">TPS/i TWIN Push MX</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TWIN Push MX</title_TI_FR>
    <MRMID xmlns="dc0c2c3d-e9fc-4a0d-820b-87ab82e65f20">M-128429</MRMID>
    <Documenttype_UK xmlns="dc0c2c3d-e9fc-4a0d-820b-87ab82e65f20">Прес-релізи</Documenttype_UK>
    <title_TI_CS xmlns="dc0c2c3d-e9fc-4a0d-820b-87ab82e65f20">TPS/i TWIN Push MX</title_TI_CS>
    <Documenttype_FR xmlns="dc0c2c3d-e9fc-4a0d-820b-87ab82e65f20">Communiqué de presse</Documenttype_FR>
    <Documenttype_EN xmlns="dc0c2c3d-e9fc-4a0d-820b-87ab82e65f20">Press Release</Documenttype_EN>
    <FileMaster xmlns="dc0c2c3d-e9fc-4a0d-820b-87ab82e65f20">M-128496</FileMaster>
    <icfaae38c4274413b390559439863f3e xmlns="dc0c2c3d-e9fc-4a0d-820b-87ab82e65f20">
      <Terms xmlns="http://schemas.microsoft.com/office/infopath/2007/PartnerControls"/>
    </icfaae38c4274413b390559439863f3e>
    <title_TI_NL xmlns="dc0c2c3d-e9fc-4a0d-820b-87ab82e65f20">TPS/i TWIN Push MX</title_TI_NL>
    <title_TI_PL xmlns="dc0c2c3d-e9fc-4a0d-820b-87ab82e65f20">TPS/i TWIN Push MX</title_TI_PL>
    <title_TI_TH xmlns="dc0c2c3d-e9fc-4a0d-820b-87ab82e65f20">TPS/i TWIN Push MX</title_TI_TH>
    <Documenttype_DA xmlns="dc0c2c3d-e9fc-4a0d-820b-87ab82e65f20">Presseinformationer</Documenttype_DA>
    <Documenttype_HU xmlns="dc0c2c3d-e9fc-4a0d-820b-87ab82e65f20">Sajtóinformáció</Documenttype_HU>
    <title_TI_JP xmlns="dc0c2c3d-e9fc-4a0d-820b-87ab82e65f20">TPS/i TWIN Push MX</title_TI_JP>
    <title_TI_RU xmlns="dc0c2c3d-e9fc-4a0d-820b-87ab82e65f20">TPS/i TWIN Push MX</title_TI_RU>
    <Documenttype_PL xmlns="dc0c2c3d-e9fc-4a0d-820b-87ab82e65f20">Informacja prasowe</Documenttype_PL>
    <Licence_x0020_information xmlns="dc0c2c3d-e9fc-4a0d-820b-87ab82e65f20">(c) Fronius International</Licence_x0020_information>
    <title_TI_NO xmlns="dc0c2c3d-e9fc-4a0d-820b-87ab82e65f20">TPS/i TWIN Push MX</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TWIN Push MX</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TWIN Push MX</title_TI_JA>
    <Documenttype_IT xmlns="dc0c2c3d-e9fc-4a0d-820b-87ab82e65f20">Comunicato stampa</Documenttype_IT>
    <Country_x0020_Quick_x0020_Select xmlns="dc0c2c3d-e9fc-4a0d-820b-87ab82e65f20">Select...</Country_x0020_Quick_x0020_Select>
    <title_TI_EN xmlns="dc0c2c3d-e9fc-4a0d-820b-87ab82e65f20">TPS/i TWIN Push</title_TI_EN>
    <title_TI_AR xmlns="dc0c2c3d-e9fc-4a0d-820b-87ab82e65f20">TPS/i TWIN Push MX</title_TI_AR>
    <title_TI_SV xmlns="dc0c2c3d-e9fc-4a0d-820b-87ab82e65f20">TPS/i TWIN Push</title_TI_SV>
    <Documenttype_CS xmlns="dc0c2c3d-e9fc-4a0d-820b-87ab82e65f20">Tisková zpráva</Documenttype_CS>
    <FroCountryExclusive xmlns="dc0c2c3d-e9fc-4a0d-820b-87ab82e65f20">No</FroCountryExclusive>
    <TitelInternal xmlns="dc0c2c3d-e9fc-4a0d-820b-87ab82e65f20">PW_PR_TPSi_TWIN_ESmx</TitelInternal>
    <title_ti_uk xmlns="dc0c2c3d-e9fc-4a0d-820b-87ab82e65f20">TPS/i TWIN Push MX</title_ti_uk>
    <Description0 xmlns="53041210-5658-4a0d-8a74-f9413e00f15b" xsi:nil="true"/>
    <_dlc_DocId xmlns="92f60987-cbcc-4245-baaf-239af3bfd6e8">3457UUQQYVA2-1576582820-9568</_dlc_DocId>
    <_dlc_DocIdUrl xmlns="92f60987-cbcc-4245-baaf-239af3bfd6e8">
      <Url>https://downloads.fronius.com/_layouts/15/DocIdRedir.aspx?ID=3457UUQQYVA2-1576582820-9568</Url>
      <Description>3457UUQQYVA2-1576582820-9568</Description>
    </_dlc_DocIdUrl>
    <contentservId xmlns="53041210-5658-4a0d-8a74-f9413e00f15b" xsi:nil="true"/>
    <title_TI_RO xmlns="dc0c2c3d-e9fc-4a0d-820b-87ab82e65f20" xsi:nil="true"/>
  </documentManagement>
</p:properties>
</file>

<file path=customXml/item4.xml><?xml version="1.0" encoding="utf-8"?>
<?mso-contentType ?>
<SharedContentType xmlns="Microsoft.SharePoint.Taxonomy.ContentTypeSync" SourceId="3e123716-e57e-43df-bff4-d192656f6566"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153C111-D964-4160-8103-0C83E32B66E7}">
  <ds:schemaRefs>
    <ds:schemaRef ds:uri="http://schemas.microsoft.com/sharepoint/v3/contenttype/forms"/>
  </ds:schemaRefs>
</ds:datastoreItem>
</file>

<file path=customXml/itemProps2.xml><?xml version="1.0" encoding="utf-8"?>
<ds:datastoreItem xmlns:ds="http://schemas.openxmlformats.org/officeDocument/2006/customXml" ds:itemID="{7C79BE57-0C34-47F4-97D0-11E3EAB07841}"/>
</file>

<file path=customXml/itemProps3.xml><?xml version="1.0" encoding="utf-8"?>
<ds:datastoreItem xmlns:ds="http://schemas.openxmlformats.org/officeDocument/2006/customXml" ds:itemID="{217FCCAA-73EC-4783-BF30-81A113295114}">
  <ds:schemaRefs>
    <ds:schemaRef ds:uri="http://schemas.microsoft.com/office/2006/metadata/properties"/>
    <ds:schemaRef ds:uri="http://schemas.microsoft.com/office/infopath/2007/PartnerControls"/>
    <ds:schemaRef ds:uri="09f5b0be-d4a0-434e-b63f-a971eba1ef82"/>
  </ds:schemaRefs>
</ds:datastoreItem>
</file>

<file path=customXml/itemProps4.xml><?xml version="1.0" encoding="utf-8"?>
<ds:datastoreItem xmlns:ds="http://schemas.openxmlformats.org/officeDocument/2006/customXml" ds:itemID="{2535C5AC-4FCE-4C94-B1B2-D6B6E45A9F71}">
  <ds:schemaRefs>
    <ds:schemaRef ds:uri="Microsoft.SharePoint.Taxonomy.ContentTypeSync"/>
  </ds:schemaRefs>
</ds:datastoreItem>
</file>

<file path=customXml/itemProps5.xml><?xml version="1.0" encoding="utf-8"?>
<ds:datastoreItem xmlns:ds="http://schemas.openxmlformats.org/officeDocument/2006/customXml" ds:itemID="{7F5A9276-ACE0-4A90-914A-E5CF390A8309}">
  <ds:schemaRefs>
    <ds:schemaRef ds:uri="http://schemas.openxmlformats.org/officeDocument/2006/bibliography"/>
  </ds:schemaRefs>
</ds:datastoreItem>
</file>

<file path=customXml/itemProps6.xml><?xml version="1.0" encoding="utf-8"?>
<ds:datastoreItem xmlns:ds="http://schemas.openxmlformats.org/officeDocument/2006/customXml" ds:itemID="{F4703BA6-E689-46BD-A37E-08AB05547B96}"/>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1237</Words>
  <Characters>7228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8449</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PW_PR_TPSi_TWIN_ESmx</dc:title>
  <dc:subject/>
  <dc:creator>Demirok Fidan</dc:creator>
  <cp:keywords/>
  <cp:lastModifiedBy>Doppler Leonie</cp:lastModifiedBy>
  <cp:revision>24</cp:revision>
  <cp:lastPrinted>2016-07-21T12:13:00Z</cp:lastPrinted>
  <dcterms:created xsi:type="dcterms:W3CDTF">2019-06-05T06:49:00Z</dcterms:created>
  <dcterms:modified xsi:type="dcterms:W3CDTF">2019-07-10T14:29:00Z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lb169c5bde7e4bcfadda4df6a11dcfbc">
    <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beb323fc-0212-4837-8558-f431e1d953f5,92;beb323fc-0212-4837-8558-f431e1d953f5,96;beb323fc-0212-4837-8558-f431e1d953f5,100;f23899af-90e5-4213-b122-4e07c0f837c2,104;f23899af-90e5-4213-b122-4e07c0f837c2,108;f23899af-90e5-4213-b122-4e07c0f837c2,111;f23899af-90e5-4213-b122-4e07c0f837c2,115;f23899af-90e5-4213-b122-4e07c0f837c2,119;f23899af-90e5-4213-b122-4e07c0f837c2,122;f23899af-90e5-4213-b122-4e07c0f837c2,125;f23899af-90e5-4213-b122-4e07c0f837c2,128;f23899af-90e5-4213-b122-4e07c0f837c2,131;f23899af-90e5-4213-b122-4e07c0f837c2,134;f23899af-90e5-4213-b122-4e07c0f837c2,138;f23899af-90e5-4213-b122-4e07c0f837c2,141;f23899af-90e5-4213-b122-4e07c0f837c2,145;f23899af-90e5-4213-b122-4e07c0f837c2,149;f23899af-90e5-4213-b122-4e07c0f837c2,152;f23899af-90e5-4213-b122-4e07c0f837c2,156;f23899af-90e5-4213-b122-4e07c0f837c2,160;f23899af-90e5-4213-b122-4e07c0f837c2,163;f23899af-90e5-4213-b122-4e07c0f837c2,167;f23899af-90e5-4213-b122-4e07c0f837c2,170;f23899af-90e5-4213-b122-4e07c0f837c2,174;f23899af-90e5-4213-b122-4e07c0f837c2,177;f23899af-90e5-4213-b122-4e07c0f837c2,180;f23899af-90e5-4213-b122-4e07c0f837c2,184;f23899af-90e5-4213-b122-4e07c0f837c2,187;f23899af-90e5-4213-b122-4e07c0f837c2,190;f23899af-90e5-4213-b122-4e07c0f837c2,193;f23899af-90e5-4213-b122-4e07c0f837c2,196;f23899af-90e5-4213-b122-4e07c0f837c2,200;f23899af-90e5-4213-b122-4e07c0f837c2,204;f23899af-90e5-4213-b122-4e07c0f837c2,207;f23899af-90e5-4213-b122-4e07c0f837c2,210;f23899af-90e5-4213-b122-4e07c0f837c2,213;a8dd0ddf-bfd4-44dd-a6bb-0c3c9675194c,217;a8dd0ddf-bfd4-44dd-a6bb-0c3c9675194c,217;6d1b5151-d866-4942-aea1-17c7cb28edce,242;6d1b5151-d866-4942-aea1-17c7cb28edce,246;84063e84-3b90-4264-9d91-20c80f9713f8,298;84063e84-3b90-4264-9d91-20c80f9713f8,298;84063e84-3b90-4264-9d91-20c80f9713f8,302;84063e84-3b90-4264-9d91-20c80f9713f8,315;</vt:lpwstr>
  </property>
  <property fmtid="{D5CDD505-2E9C-101B-9397-08002B2CF9AE}" pid="10" name="Web Display Title SV">
    <vt:lpwstr>TPS/i TWIN Push</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FroConDoc_language">
    <vt:lpwstr/>
  </property>
  <property fmtid="{D5CDD505-2E9C-101B-9397-08002B2CF9AE}" pid="14" name="DisableEventReceiver">
    <vt:bool>false</vt:bool>
  </property>
  <property fmtid="{D5CDD505-2E9C-101B-9397-08002B2CF9AE}" pid="15" name="_dlc_DocIdItemGuid">
    <vt:lpwstr>f923376d-662b-4fdd-8d80-41b569affe84</vt:lpwstr>
  </property>
</Properties>
</file>