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0D" w:rsidRPr="00C724A2" w:rsidRDefault="00E03C0D" w:rsidP="00C724A2">
      <w:pPr>
        <w:rPr>
          <w:rFonts w:cs="Arial"/>
        </w:rPr>
      </w:pPr>
    </w:p>
    <w:p w:rsidR="00E03C0D" w:rsidRPr="00C724A2" w:rsidRDefault="00E03C0D" w:rsidP="00C724A2">
      <w:pPr>
        <w:rPr>
          <w:rFonts w:cs="Arial"/>
        </w:rPr>
      </w:pPr>
    </w:p>
    <w:p w:rsidR="00E03C0D" w:rsidRPr="00C724A2" w:rsidRDefault="00E03C0D" w:rsidP="00C724A2">
      <w:pPr>
        <w:rPr>
          <w:rFonts w:cs="Arial"/>
        </w:rPr>
        <w:sectPr w:rsidR="00E03C0D" w:rsidRPr="00C724A2" w:rsidSect="00E03C0D">
          <w:headerReference w:type="default" r:id="rId8"/>
          <w:footerReference w:type="default" r:id="rId9"/>
          <w:pgSz w:w="11906" w:h="16838"/>
          <w:pgMar w:top="1977" w:right="746" w:bottom="1134" w:left="1260" w:header="708" w:footer="481" w:gutter="0"/>
          <w:cols w:space="708"/>
          <w:docGrid w:linePitch="360"/>
        </w:sectPr>
      </w:pPr>
    </w:p>
    <w:p w:rsidR="00E03C0D" w:rsidRPr="00C724A2" w:rsidRDefault="00E03C0D" w:rsidP="00C724A2">
      <w:pPr>
        <w:pStyle w:val="berschrift1"/>
        <w:spacing w:before="0" w:after="0"/>
      </w:pPr>
      <w:r w:rsidRPr="00C724A2">
        <w:t>NOTA DE PRENSA</w:t>
      </w:r>
    </w:p>
    <w:p w:rsidR="00E03C0D" w:rsidRPr="00C724A2" w:rsidRDefault="00E03C0D" w:rsidP="00C724A2">
      <w:pPr>
        <w:rPr>
          <w:rFonts w:cs="Arial"/>
          <w:szCs w:val="20"/>
        </w:rPr>
      </w:pPr>
    </w:p>
    <w:p w:rsidR="00C724A2" w:rsidRPr="006C3D9E" w:rsidRDefault="006C3D9E" w:rsidP="00C724A2">
      <w:pPr>
        <w:pStyle w:val="Titel"/>
        <w:pBdr>
          <w:bottom w:val="none" w:sz="0" w:space="0" w:color="auto"/>
        </w:pBdr>
        <w:spacing w:after="0"/>
        <w:rPr>
          <w:rFonts w:ascii="Arial" w:eastAsia="PMingLiU" w:hAnsi="Arial" w:cs="Arial"/>
          <w:b/>
          <w:color w:val="auto"/>
          <w:spacing w:val="0"/>
          <w:kern w:val="0"/>
          <w:sz w:val="20"/>
          <w:szCs w:val="20"/>
        </w:rPr>
      </w:pPr>
      <w:r w:rsidRPr="006C3D9E">
        <w:rPr>
          <w:rFonts w:ascii="Arial" w:eastAsia="PMingLiU" w:hAnsi="Arial" w:cs="Arial"/>
          <w:b/>
          <w:color w:val="auto"/>
          <w:spacing w:val="0"/>
          <w:kern w:val="0"/>
          <w:sz w:val="20"/>
          <w:szCs w:val="20"/>
        </w:rPr>
        <w:t>Distintas variantes del proceso de soldadura revolucionan los sistemas de emisiones de gases de escape:</w:t>
      </w:r>
    </w:p>
    <w:p w:rsidR="00C724A2" w:rsidRPr="00C724A2" w:rsidRDefault="006C3D9E" w:rsidP="00C724A2">
      <w:pPr>
        <w:rPr>
          <w:rFonts w:cs="Arial"/>
          <w:b/>
          <w:szCs w:val="20"/>
          <w:lang w:eastAsia="zh-TW"/>
        </w:rPr>
      </w:pPr>
      <w:proofErr w:type="gramStart"/>
      <w:r w:rsidRPr="006C3D9E">
        <w:rPr>
          <w:rFonts w:eastAsia="Times New Roman" w:cs="Arial"/>
          <w:b/>
          <w:color w:val="000000"/>
          <w:spacing w:val="5"/>
          <w:kern w:val="28"/>
          <w:sz w:val="28"/>
          <w:szCs w:val="52"/>
        </w:rPr>
        <w:t>avanzamos</w:t>
      </w:r>
      <w:proofErr w:type="gramEnd"/>
      <w:r w:rsidRPr="006C3D9E">
        <w:rPr>
          <w:rFonts w:eastAsia="Times New Roman" w:cs="Arial"/>
          <w:b/>
          <w:color w:val="000000"/>
          <w:spacing w:val="5"/>
          <w:kern w:val="28"/>
          <w:sz w:val="28"/>
          <w:szCs w:val="52"/>
        </w:rPr>
        <w:t xml:space="preserve"> hacia el futuro de la automoción a todo gas</w:t>
      </w:r>
    </w:p>
    <w:p w:rsidR="00C724A2" w:rsidRPr="00C724A2" w:rsidRDefault="00C724A2" w:rsidP="00C724A2">
      <w:pPr>
        <w:rPr>
          <w:rFonts w:cs="Arial"/>
          <w:b/>
          <w:szCs w:val="20"/>
        </w:rPr>
      </w:pPr>
    </w:p>
    <w:p w:rsidR="00C724A2" w:rsidRPr="00C724A2" w:rsidRDefault="006C3D9E" w:rsidP="00C724A2">
      <w:pPr>
        <w:rPr>
          <w:rFonts w:eastAsia="Times New Roman" w:cs="Arial"/>
          <w:b/>
          <w:szCs w:val="20"/>
        </w:rPr>
      </w:pPr>
      <w:r w:rsidRPr="006C3D9E">
        <w:rPr>
          <w:rFonts w:cs="Arial"/>
          <w:b/>
          <w:szCs w:val="20"/>
        </w:rPr>
        <w:t>Aunque los vehículos eléctricos sean cada vez más populares, los analistas prevén que más de dos tercios de todos los coches comercializados desde hoy hasta 2025 estén propulsados exclusivamente por motores de combustión. Este es motivo más que suficiente para reflexionar sobre cuál es el mejor método para soldar sus componentes.</w:t>
      </w:r>
    </w:p>
    <w:p w:rsidR="006C3D9E" w:rsidRDefault="006C3D9E" w:rsidP="00C724A2">
      <w:pPr>
        <w:autoSpaceDE w:val="0"/>
        <w:autoSpaceDN w:val="0"/>
        <w:adjustRightInd w:val="0"/>
        <w:rPr>
          <w:rFonts w:cs="Arial"/>
          <w:szCs w:val="20"/>
        </w:rPr>
      </w:pPr>
    </w:p>
    <w:p w:rsidR="006C3D9E" w:rsidRPr="00C724A2" w:rsidRDefault="006C3D9E" w:rsidP="00C724A2">
      <w:pPr>
        <w:autoSpaceDE w:val="0"/>
        <w:autoSpaceDN w:val="0"/>
        <w:adjustRightInd w:val="0"/>
        <w:rPr>
          <w:rFonts w:eastAsia="Times New Roman" w:cs="Arial"/>
          <w:szCs w:val="20"/>
        </w:rPr>
      </w:pPr>
    </w:p>
    <w:p w:rsidR="006C3D9E" w:rsidRDefault="006C3D9E" w:rsidP="006C3D9E">
      <w:pPr>
        <w:rPr>
          <w:rFonts w:cs="Arial"/>
          <w:szCs w:val="20"/>
        </w:rPr>
      </w:pPr>
      <w:r w:rsidRPr="006C3D9E">
        <w:rPr>
          <w:rFonts w:cs="Arial"/>
          <w:szCs w:val="20"/>
        </w:rPr>
        <w:t xml:space="preserve">Los sistemas de emisiones de escape de los automóviles captan los gases procedentes del motor de combustión y los limpian, para lo cual deben soportar temperaturas muy elevadas y también un alto riesgo de corrosión. Los requisitos que debe satisfacer cada componente determinan de qué material se fabrica. </w:t>
      </w:r>
    </w:p>
    <w:p w:rsidR="00586249" w:rsidRPr="006C3D9E" w:rsidRDefault="00586249" w:rsidP="006C3D9E">
      <w:pPr>
        <w:rPr>
          <w:rFonts w:cs="Arial"/>
          <w:szCs w:val="20"/>
        </w:rPr>
      </w:pPr>
    </w:p>
    <w:p w:rsidR="006C3D9E" w:rsidRPr="006C3D9E" w:rsidRDefault="006C3D9E" w:rsidP="006C3D9E">
      <w:pPr>
        <w:rPr>
          <w:rFonts w:cs="Arial"/>
          <w:szCs w:val="20"/>
        </w:rPr>
      </w:pPr>
      <w:r w:rsidRPr="006C3D9E">
        <w:rPr>
          <w:rFonts w:cs="Arial"/>
          <w:szCs w:val="20"/>
        </w:rPr>
        <w:t xml:space="preserve">El proceso que se aplica con más asiduidad para unir componentes del sistema de emisiones de escape es la soldadura de metal por gases activos, MAG. El colector de gases de escape plantea grandes dificultades para el proceso de soldadura: los radios tan angostos de la pieza obligan a reducir la velocidad de soldadura de los robots. Pero </w:t>
      </w:r>
      <w:proofErr w:type="spellStart"/>
      <w:r w:rsidRPr="006C3D9E">
        <w:rPr>
          <w:rFonts w:cs="Arial"/>
          <w:szCs w:val="20"/>
        </w:rPr>
        <w:t>aún</w:t>
      </w:r>
      <w:proofErr w:type="spellEnd"/>
      <w:r w:rsidRPr="006C3D9E">
        <w:rPr>
          <w:rFonts w:cs="Arial"/>
          <w:szCs w:val="20"/>
        </w:rPr>
        <w:t xml:space="preserve"> así, es preciso evitar que se transmita demasiada energía al componente y debemos garantizar que el proceso sea estable y reproducible.</w:t>
      </w:r>
    </w:p>
    <w:p w:rsidR="006C3D9E" w:rsidRPr="006C3D9E" w:rsidRDefault="006C3D9E" w:rsidP="006C3D9E">
      <w:pPr>
        <w:rPr>
          <w:rFonts w:cs="Arial"/>
          <w:szCs w:val="20"/>
        </w:rPr>
      </w:pPr>
    </w:p>
    <w:p w:rsidR="006C3D9E" w:rsidRPr="006C3D9E" w:rsidRDefault="006C3D9E" w:rsidP="006C3D9E">
      <w:pPr>
        <w:rPr>
          <w:rFonts w:cs="Arial"/>
          <w:b/>
          <w:szCs w:val="20"/>
        </w:rPr>
      </w:pPr>
      <w:r w:rsidRPr="006C3D9E">
        <w:rPr>
          <w:rFonts w:cs="Arial"/>
          <w:b/>
          <w:szCs w:val="20"/>
        </w:rPr>
        <w:t xml:space="preserve">Nuevas posibilidades gracias a la electrónica avanzada de grandes prestaciones </w:t>
      </w:r>
    </w:p>
    <w:p w:rsidR="006C3D9E" w:rsidRPr="006C3D9E" w:rsidRDefault="006C3D9E" w:rsidP="006C3D9E">
      <w:pPr>
        <w:rPr>
          <w:rFonts w:cs="Arial"/>
          <w:szCs w:val="20"/>
        </w:rPr>
      </w:pPr>
    </w:p>
    <w:p w:rsidR="006C3D9E" w:rsidRPr="006C3D9E" w:rsidRDefault="006C3D9E" w:rsidP="006C3D9E">
      <w:pPr>
        <w:rPr>
          <w:rFonts w:cs="Arial"/>
          <w:szCs w:val="20"/>
        </w:rPr>
      </w:pPr>
      <w:r w:rsidRPr="006C3D9E">
        <w:rPr>
          <w:rFonts w:cs="Arial"/>
          <w:szCs w:val="20"/>
        </w:rPr>
        <w:t xml:space="preserve">El problema no termina con el colector, pues hay otros componentes que nos depararán sorpresas. La calidad y el grosor del material se amoldan a las exigencias que determina cada grupo de componentes, lo que nos obliga a adaptar el proceso de soldadura a cada componente. Dentro de su catálogo, </w:t>
      </w:r>
      <w:proofErr w:type="spellStart"/>
      <w:r w:rsidRPr="006C3D9E">
        <w:rPr>
          <w:rFonts w:cs="Arial"/>
          <w:szCs w:val="20"/>
        </w:rPr>
        <w:t>Fronius</w:t>
      </w:r>
      <w:proofErr w:type="spellEnd"/>
      <w:r w:rsidRPr="006C3D9E">
        <w:rPr>
          <w:rFonts w:cs="Arial"/>
          <w:szCs w:val="20"/>
        </w:rPr>
        <w:t xml:space="preserve"> dispone de distintas variantes para regular el proceso de soldadura MAG, que permiten acometer por completo la soldadura de componentes complejos. Gracias a los sistemas electrónicos de altas prestaciones que incorporan las fuentes de corriente para soldadura más modernas, los usuarios pueden regular el arco voltaico de manera controlada y conseguir así resultados óptimos.</w:t>
      </w:r>
    </w:p>
    <w:p w:rsidR="006C3D9E" w:rsidRPr="006C3D9E" w:rsidRDefault="006C3D9E" w:rsidP="006C3D9E">
      <w:pPr>
        <w:rPr>
          <w:rFonts w:cs="Arial"/>
          <w:szCs w:val="20"/>
        </w:rPr>
      </w:pPr>
    </w:p>
    <w:p w:rsidR="006C3D9E" w:rsidRPr="006C3D9E" w:rsidRDefault="006C3D9E" w:rsidP="006C3D9E">
      <w:pPr>
        <w:rPr>
          <w:rFonts w:cs="Arial"/>
          <w:szCs w:val="20"/>
        </w:rPr>
      </w:pPr>
      <w:r w:rsidRPr="006C3D9E">
        <w:rPr>
          <w:rFonts w:cs="Arial"/>
          <w:szCs w:val="20"/>
        </w:rPr>
        <w:t>Para soldar componentes de sistemas de emisiones de escape, destaca especialmente el modo "</w:t>
      </w:r>
      <w:proofErr w:type="spellStart"/>
      <w:r w:rsidRPr="006C3D9E">
        <w:rPr>
          <w:rFonts w:cs="Arial"/>
          <w:szCs w:val="20"/>
        </w:rPr>
        <w:t>Low</w:t>
      </w:r>
      <w:proofErr w:type="spellEnd"/>
      <w:r w:rsidRPr="006C3D9E">
        <w:rPr>
          <w:rFonts w:cs="Arial"/>
          <w:szCs w:val="20"/>
        </w:rPr>
        <w:t xml:space="preserve"> </w:t>
      </w:r>
      <w:proofErr w:type="spellStart"/>
      <w:r w:rsidRPr="006C3D9E">
        <w:rPr>
          <w:rFonts w:cs="Arial"/>
          <w:szCs w:val="20"/>
        </w:rPr>
        <w:t>Spatter</w:t>
      </w:r>
      <w:proofErr w:type="spellEnd"/>
      <w:r w:rsidRPr="006C3D9E">
        <w:rPr>
          <w:rFonts w:cs="Arial"/>
          <w:szCs w:val="20"/>
        </w:rPr>
        <w:t xml:space="preserve"> Control" o LSC. Esta opción se basa en emplear un arco voltaico corto, con un nivel de energía reducido y muchas menos proyecciones. Para hacer esto realidad, el sistema de soldadura controla de forma muy precisa el caso de cortocircuito: la fuente de corriente detecta con exactitud la proximidad del electrodo de soldadura al baño de fusión y dirige el desprendimiento de gota para el baño, de forma que este se produce a una potencia muy limitada. Con todo esto, la aportación de calor que se transmite al componente sobre el que se trabaja se mantiene en el mínimo y apenas se producen proyecciones; una situación ideal para ensamblar piezas de grosores muy delgados y con variaciones en las geometrías de las juntas, justo lo que sucede con el colector de gases. Además, la función LSC asegura una alta estabilidad ante los cambios de orientación tan delicados que debe efectuar la antorcha de soldadura y por tanto, también favorece altas velocidades de soldadura. </w:t>
      </w:r>
    </w:p>
    <w:p w:rsidR="006C3D9E" w:rsidRPr="006C3D9E" w:rsidRDefault="006C3D9E" w:rsidP="006C3D9E">
      <w:pPr>
        <w:rPr>
          <w:rFonts w:cs="Arial"/>
          <w:szCs w:val="20"/>
        </w:rPr>
      </w:pPr>
    </w:p>
    <w:p w:rsidR="006C3D9E" w:rsidRPr="006C3D9E" w:rsidRDefault="006C3D9E" w:rsidP="006C3D9E">
      <w:pPr>
        <w:rPr>
          <w:rFonts w:cs="Arial"/>
          <w:szCs w:val="20"/>
        </w:rPr>
      </w:pPr>
    </w:p>
    <w:p w:rsidR="006C3D9E" w:rsidRPr="006C3D9E" w:rsidRDefault="006C3D9E" w:rsidP="006C3D9E">
      <w:pPr>
        <w:rPr>
          <w:rFonts w:cs="Arial"/>
          <w:szCs w:val="20"/>
        </w:rPr>
      </w:pPr>
    </w:p>
    <w:p w:rsidR="006C3D9E" w:rsidRPr="006C3D9E" w:rsidRDefault="006C3D9E" w:rsidP="006C3D9E">
      <w:pPr>
        <w:rPr>
          <w:rFonts w:cs="Arial"/>
          <w:szCs w:val="20"/>
        </w:rPr>
      </w:pPr>
      <w:r w:rsidRPr="006C3D9E">
        <w:rPr>
          <w:rFonts w:cs="Arial"/>
          <w:szCs w:val="20"/>
        </w:rPr>
        <w:t xml:space="preserve">La función "Pulse </w:t>
      </w:r>
      <w:proofErr w:type="spellStart"/>
      <w:r w:rsidRPr="006C3D9E">
        <w:rPr>
          <w:rFonts w:cs="Arial"/>
          <w:szCs w:val="20"/>
        </w:rPr>
        <w:t>Multi</w:t>
      </w:r>
      <w:proofErr w:type="spellEnd"/>
      <w:r w:rsidRPr="006C3D9E">
        <w:rPr>
          <w:rFonts w:cs="Arial"/>
          <w:szCs w:val="20"/>
        </w:rPr>
        <w:t xml:space="preserve"> Control" o PMC constituye otra variante del proceso. Este proceso emplea un arco voltaico pulsado modificado y se caracteriza por presentar unos desprendimientos de gotas regulado con gran precisión y con muy pocas proyecciones. La función Pulse </w:t>
      </w:r>
      <w:proofErr w:type="spellStart"/>
      <w:r w:rsidRPr="006C3D9E">
        <w:rPr>
          <w:rFonts w:cs="Arial"/>
          <w:szCs w:val="20"/>
        </w:rPr>
        <w:t>Multi</w:t>
      </w:r>
      <w:proofErr w:type="spellEnd"/>
      <w:r w:rsidRPr="006C3D9E">
        <w:rPr>
          <w:rFonts w:cs="Arial"/>
          <w:szCs w:val="20"/>
        </w:rPr>
        <w:t xml:space="preserve"> Control produce un arco voltaico potente y estable, que en posiciones forzadas logra unas altas tasas de deposición y al mismo tiempo, una buena capacidad de control para el baño de fusión. De este modo, los usuarios pueden evitar irregularidades como las muescas por penetración, obteniendo uniones de </w:t>
      </w:r>
      <w:proofErr w:type="gramStart"/>
      <w:r w:rsidRPr="006C3D9E">
        <w:rPr>
          <w:rFonts w:cs="Arial"/>
          <w:szCs w:val="20"/>
        </w:rPr>
        <w:t>soldadura estables y reproducibles</w:t>
      </w:r>
      <w:proofErr w:type="gramEnd"/>
      <w:r w:rsidRPr="006C3D9E">
        <w:rPr>
          <w:rFonts w:cs="Arial"/>
          <w:szCs w:val="20"/>
        </w:rPr>
        <w:t xml:space="preserve">. Esta función resulta especialmente adecuada para soldar piezas afectadas por las tolerancias, con saltos muy acusados entre paredes de distintos grosores: justamente la clase de condiciones que impera en muchos componentes de los sistemas de emisiones de gases de escape. Incluso ante este panorama, la función Pulse </w:t>
      </w:r>
      <w:proofErr w:type="spellStart"/>
      <w:r w:rsidRPr="006C3D9E">
        <w:rPr>
          <w:rFonts w:cs="Arial"/>
          <w:szCs w:val="20"/>
        </w:rPr>
        <w:t>Multi</w:t>
      </w:r>
      <w:proofErr w:type="spellEnd"/>
      <w:r w:rsidRPr="006C3D9E">
        <w:rPr>
          <w:rFonts w:cs="Arial"/>
          <w:szCs w:val="20"/>
        </w:rPr>
        <w:t xml:space="preserve"> Control garantiza una penetración suficiente y una buena absorción de gaps. Los proveedores de la industria de la automoción aplican a menudo este procedimiento para soldar colectores de gases de escape. En la práctica, la </w:t>
      </w:r>
      <w:r w:rsidRPr="006C3D9E">
        <w:rPr>
          <w:rFonts w:cs="Arial"/>
          <w:szCs w:val="20"/>
        </w:rPr>
        <w:lastRenderedPageBreak/>
        <w:t xml:space="preserve">tecnología Pulse </w:t>
      </w:r>
      <w:proofErr w:type="spellStart"/>
      <w:r w:rsidRPr="006C3D9E">
        <w:rPr>
          <w:rFonts w:cs="Arial"/>
          <w:szCs w:val="20"/>
        </w:rPr>
        <w:t>Multi</w:t>
      </w:r>
      <w:proofErr w:type="spellEnd"/>
      <w:r w:rsidRPr="006C3D9E">
        <w:rPr>
          <w:rFonts w:cs="Arial"/>
          <w:szCs w:val="20"/>
        </w:rPr>
        <w:t xml:space="preserve"> Control alcanza velocidades de soldadura claramente superiores y como consecuencia, potencia la productividad.</w:t>
      </w:r>
    </w:p>
    <w:p w:rsidR="006C3D9E" w:rsidRPr="006C3D9E" w:rsidRDefault="006C3D9E" w:rsidP="006C3D9E">
      <w:pPr>
        <w:rPr>
          <w:rFonts w:cs="Arial"/>
          <w:szCs w:val="20"/>
        </w:rPr>
      </w:pPr>
    </w:p>
    <w:p w:rsidR="006C3D9E" w:rsidRPr="006C3D9E" w:rsidRDefault="006C3D9E" w:rsidP="006C3D9E">
      <w:pPr>
        <w:rPr>
          <w:rFonts w:cs="Arial"/>
          <w:b/>
          <w:szCs w:val="20"/>
        </w:rPr>
      </w:pPr>
      <w:r w:rsidRPr="006C3D9E">
        <w:rPr>
          <w:rFonts w:cs="Arial"/>
          <w:b/>
          <w:szCs w:val="20"/>
        </w:rPr>
        <w:t>Más alto, más lejos, más delgado</w:t>
      </w:r>
    </w:p>
    <w:p w:rsidR="006C3D9E" w:rsidRPr="006C3D9E" w:rsidRDefault="006C3D9E" w:rsidP="006C3D9E">
      <w:pPr>
        <w:rPr>
          <w:rFonts w:cs="Arial"/>
          <w:szCs w:val="20"/>
        </w:rPr>
      </w:pPr>
    </w:p>
    <w:p w:rsidR="00E03C0D" w:rsidRDefault="006C3D9E" w:rsidP="006C3D9E">
      <w:pPr>
        <w:rPr>
          <w:rFonts w:cs="Arial"/>
          <w:szCs w:val="20"/>
        </w:rPr>
      </w:pPr>
      <w:r w:rsidRPr="006C3D9E">
        <w:rPr>
          <w:rFonts w:cs="Arial"/>
          <w:szCs w:val="20"/>
        </w:rPr>
        <w:t>Ahora bien, es posible que otras variantes tomen protagonismo ante los desafíos que depara el futuro de la industria automovilística. Una de las tendencias destacadas es el desarrollo de vehículos cada vez más ligeros: al reducirse el peso, se reduce el consumo de carburante y el ahorro de materiales se traduce también en ahorros en la producción. Este fenómeno también repercute sobre la estructura y la construcción de los componentes de los sistemas de emisiones de escape. Los materiales base y de aporte que se emplean son resistentes a las altas temperaturas y permiten fabricar componentes con espesores cada vez menores, tanto que en el futuro es posible que paredes de 0,8 milímetros se conviertan en el estándar habitual. En este escenario es donde la tecnología CMT (</w:t>
      </w:r>
      <w:proofErr w:type="spellStart"/>
      <w:r w:rsidRPr="006C3D9E">
        <w:rPr>
          <w:rFonts w:cs="Arial"/>
          <w:szCs w:val="20"/>
        </w:rPr>
        <w:t>Cold</w:t>
      </w:r>
      <w:proofErr w:type="spellEnd"/>
      <w:r w:rsidRPr="006C3D9E">
        <w:rPr>
          <w:rFonts w:cs="Arial"/>
          <w:szCs w:val="20"/>
        </w:rPr>
        <w:t xml:space="preserve"> Metal Transfer) brilla con luz propia. Este proceso combina un arco voltaico corto regulado con un electrodo de soldadura que se mueve avanzando y retrocediendo. Como resultado se reduce al mínimo la aportación de calor y se logra una extraordinaria estabilidad del proceso de soldadura, que permiten al usuario conseguir resultados óptimos incluso al ensamblar componentes muy delgados.</w:t>
      </w:r>
    </w:p>
    <w:p w:rsidR="00C724A2" w:rsidRPr="00C724A2" w:rsidRDefault="00C724A2" w:rsidP="00C724A2">
      <w:pPr>
        <w:rPr>
          <w:rFonts w:cs="Arial"/>
          <w:szCs w:val="20"/>
        </w:rPr>
      </w:pPr>
    </w:p>
    <w:p w:rsidR="00E03C0D" w:rsidRPr="00C724A2" w:rsidRDefault="00586249" w:rsidP="00C724A2">
      <w:pPr>
        <w:rPr>
          <w:rFonts w:cs="Arial"/>
          <w:i/>
          <w:szCs w:val="20"/>
        </w:rPr>
      </w:pPr>
      <w:r>
        <w:rPr>
          <w:rFonts w:cs="Arial"/>
          <w:i/>
          <w:szCs w:val="20"/>
        </w:rPr>
        <w:t>5.600</w:t>
      </w:r>
      <w:r w:rsidR="00E03C0D" w:rsidRPr="00C724A2">
        <w:rPr>
          <w:rFonts w:cs="Arial"/>
          <w:i/>
          <w:szCs w:val="20"/>
        </w:rPr>
        <w:t xml:space="preserve"> caracteres incluidos espacios</w:t>
      </w:r>
    </w:p>
    <w:p w:rsidR="00E03C0D" w:rsidRDefault="00E03C0D" w:rsidP="00C724A2">
      <w:pPr>
        <w:rPr>
          <w:rFonts w:cs="Arial"/>
          <w:i/>
          <w:szCs w:val="20"/>
        </w:rPr>
      </w:pPr>
    </w:p>
    <w:p w:rsidR="00C724A2" w:rsidRPr="00C724A2" w:rsidRDefault="00C724A2" w:rsidP="00C724A2">
      <w:pPr>
        <w:rPr>
          <w:rFonts w:cs="Arial"/>
          <w:i/>
          <w:szCs w:val="20"/>
        </w:rPr>
      </w:pPr>
    </w:p>
    <w:p w:rsidR="00E03C0D" w:rsidRPr="00C724A2" w:rsidRDefault="00E03C0D" w:rsidP="00C724A2">
      <w:pPr>
        <w:rPr>
          <w:rFonts w:cs="Arial"/>
          <w:b/>
          <w:szCs w:val="20"/>
        </w:rPr>
      </w:pPr>
      <w:r w:rsidRPr="00C724A2">
        <w:rPr>
          <w:rFonts w:cs="Arial"/>
          <w:b/>
          <w:szCs w:val="20"/>
        </w:rPr>
        <w:t xml:space="preserve">Subtítulos de foto: </w:t>
      </w:r>
    </w:p>
    <w:p w:rsidR="00E03C0D" w:rsidRDefault="00E03C0D" w:rsidP="00C724A2">
      <w:pPr>
        <w:rPr>
          <w:rFonts w:cs="Arial"/>
          <w:szCs w:val="20"/>
        </w:rPr>
      </w:pPr>
    </w:p>
    <w:p w:rsidR="006C3D9E" w:rsidRPr="00C724A2" w:rsidRDefault="00FC3C50" w:rsidP="00C724A2">
      <w:pPr>
        <w:rPr>
          <w:rFonts w:cs="Arial"/>
          <w:szCs w:val="20"/>
        </w:rPr>
      </w:pPr>
      <w:r>
        <w:rPr>
          <w:rFonts w:cs="Arial"/>
          <w:noProof/>
          <w:szCs w:val="20"/>
          <w:lang w:val="de-AT" w:eastAsia="de-AT"/>
        </w:rPr>
        <w:drawing>
          <wp:inline distT="0" distB="0" distL="0" distR="0" wp14:anchorId="6C090C5D">
            <wp:extent cx="2158365" cy="16217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1621790"/>
                    </a:xfrm>
                    <a:prstGeom prst="rect">
                      <a:avLst/>
                    </a:prstGeom>
                    <a:noFill/>
                  </pic:spPr>
                </pic:pic>
              </a:graphicData>
            </a:graphic>
          </wp:inline>
        </w:drawing>
      </w:r>
    </w:p>
    <w:p w:rsidR="00E03C0D" w:rsidRPr="00FC3C50" w:rsidRDefault="00E03C0D" w:rsidP="00C724A2">
      <w:pPr>
        <w:rPr>
          <w:rFonts w:cs="Arial"/>
          <w:szCs w:val="20"/>
        </w:rPr>
      </w:pPr>
      <w:r w:rsidRPr="00C724A2">
        <w:rPr>
          <w:rFonts w:cs="Arial"/>
          <w:b/>
          <w:szCs w:val="20"/>
        </w:rPr>
        <w:t xml:space="preserve">Imagen 1: </w:t>
      </w:r>
      <w:r w:rsidR="00FC3C50" w:rsidRPr="00FC3C50">
        <w:rPr>
          <w:rFonts w:cs="Arial"/>
          <w:szCs w:val="20"/>
        </w:rPr>
        <w:t>El colector de gases de escape supone un desafío técnico para la soldadura: está compuesto por piezas de acero cromado con geometrías complejas y radios muy angostos, que exigen penetraciones muy precisas.</w:t>
      </w:r>
    </w:p>
    <w:p w:rsidR="00E03C0D" w:rsidRPr="00C724A2" w:rsidRDefault="00E03C0D" w:rsidP="00C724A2">
      <w:pPr>
        <w:rPr>
          <w:rFonts w:cs="Arial"/>
          <w:b/>
          <w:szCs w:val="20"/>
        </w:rPr>
      </w:pPr>
    </w:p>
    <w:p w:rsidR="00E03C0D" w:rsidRPr="00C724A2" w:rsidRDefault="00FC3C50" w:rsidP="00C724A2">
      <w:pPr>
        <w:rPr>
          <w:rFonts w:cs="Arial"/>
          <w:b/>
          <w:szCs w:val="20"/>
        </w:rPr>
      </w:pPr>
      <w:r>
        <w:rPr>
          <w:rFonts w:cs="Arial"/>
          <w:b/>
          <w:noProof/>
          <w:szCs w:val="20"/>
          <w:lang w:val="de-AT" w:eastAsia="de-AT"/>
        </w:rPr>
        <w:drawing>
          <wp:inline distT="0" distB="0" distL="0" distR="0" wp14:anchorId="6E1F375F">
            <wp:extent cx="3255645" cy="183515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1835150"/>
                    </a:xfrm>
                    <a:prstGeom prst="rect">
                      <a:avLst/>
                    </a:prstGeom>
                    <a:noFill/>
                  </pic:spPr>
                </pic:pic>
              </a:graphicData>
            </a:graphic>
          </wp:inline>
        </w:drawing>
      </w:r>
    </w:p>
    <w:p w:rsidR="00E03C0D" w:rsidRDefault="00E03C0D" w:rsidP="00C724A2">
      <w:pPr>
        <w:rPr>
          <w:rFonts w:cs="Arial"/>
          <w:szCs w:val="20"/>
        </w:rPr>
      </w:pPr>
      <w:r w:rsidRPr="00C724A2">
        <w:rPr>
          <w:rFonts w:cs="Arial"/>
          <w:b/>
          <w:szCs w:val="20"/>
        </w:rPr>
        <w:t>Imagen 2:</w:t>
      </w:r>
      <w:r w:rsidR="00FC3C50">
        <w:rPr>
          <w:rFonts w:cs="Arial"/>
          <w:szCs w:val="20"/>
        </w:rPr>
        <w:t xml:space="preserve"> </w:t>
      </w:r>
      <w:r w:rsidR="00FC3C50" w:rsidRPr="00FC3C50">
        <w:rPr>
          <w:rFonts w:cs="Arial"/>
          <w:szCs w:val="20"/>
        </w:rPr>
        <w:t>Buena capacidad para absorción de gaps, estabilidad fiable en la penetración y la velocidad: todos estos requisitos se ajustan a las necesidades del proceso de soldadura para ensamblar colectores de gases de escape.</w:t>
      </w:r>
    </w:p>
    <w:p w:rsidR="00FC3C50" w:rsidRDefault="00FC3C50" w:rsidP="00C724A2">
      <w:pPr>
        <w:rPr>
          <w:rFonts w:cs="Arial"/>
          <w:szCs w:val="20"/>
        </w:rPr>
      </w:pPr>
    </w:p>
    <w:p w:rsidR="00FC3C50" w:rsidRDefault="00FC3C50" w:rsidP="00C724A2">
      <w:pPr>
        <w:rPr>
          <w:rFonts w:cs="Arial"/>
          <w:szCs w:val="20"/>
        </w:rPr>
      </w:pPr>
      <w:r>
        <w:rPr>
          <w:rFonts w:cs="Arial"/>
          <w:noProof/>
          <w:szCs w:val="20"/>
          <w:lang w:val="de-AT" w:eastAsia="de-AT"/>
        </w:rPr>
        <w:lastRenderedPageBreak/>
        <w:drawing>
          <wp:inline distT="0" distB="0" distL="0" distR="0" wp14:anchorId="365B4A63">
            <wp:extent cx="2573020" cy="171323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3020" cy="1713230"/>
                    </a:xfrm>
                    <a:prstGeom prst="rect">
                      <a:avLst/>
                    </a:prstGeom>
                    <a:noFill/>
                  </pic:spPr>
                </pic:pic>
              </a:graphicData>
            </a:graphic>
          </wp:inline>
        </w:drawing>
      </w:r>
    </w:p>
    <w:p w:rsidR="00FC3C50" w:rsidRDefault="00FC3C50" w:rsidP="00C724A2">
      <w:pPr>
        <w:rPr>
          <w:rFonts w:cs="Arial"/>
          <w:szCs w:val="20"/>
        </w:rPr>
      </w:pPr>
      <w:r w:rsidRPr="00FC3C50">
        <w:rPr>
          <w:rFonts w:cs="Arial"/>
          <w:b/>
          <w:szCs w:val="20"/>
        </w:rPr>
        <w:t>Imagen 3:</w:t>
      </w:r>
      <w:r>
        <w:rPr>
          <w:rFonts w:cs="Arial"/>
          <w:szCs w:val="20"/>
        </w:rPr>
        <w:t xml:space="preserve"> </w:t>
      </w:r>
      <w:r w:rsidRPr="00FC3C50">
        <w:rPr>
          <w:rFonts w:cs="Arial"/>
          <w:szCs w:val="20"/>
        </w:rPr>
        <w:t>Un cordón de soldadura elaborado con la función CMT para la brida de acoplamiento de un componente del sistema de emisiones de escape.</w:t>
      </w:r>
    </w:p>
    <w:p w:rsidR="00FC3C50" w:rsidRDefault="00FC3C50" w:rsidP="00C724A2">
      <w:pPr>
        <w:rPr>
          <w:rFonts w:cs="Arial"/>
          <w:szCs w:val="20"/>
        </w:rPr>
      </w:pPr>
    </w:p>
    <w:p w:rsidR="00FC3C50" w:rsidRDefault="00FC3C50" w:rsidP="00C724A2">
      <w:pPr>
        <w:rPr>
          <w:rFonts w:cs="Arial"/>
          <w:szCs w:val="20"/>
        </w:rPr>
      </w:pPr>
      <w:r>
        <w:rPr>
          <w:rFonts w:cs="Arial"/>
          <w:noProof/>
          <w:szCs w:val="20"/>
          <w:lang w:val="de-AT" w:eastAsia="de-AT"/>
        </w:rPr>
        <w:drawing>
          <wp:inline distT="0" distB="0" distL="0" distR="0" wp14:anchorId="56C038B8">
            <wp:extent cx="2627630" cy="135953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1359535"/>
                    </a:xfrm>
                    <a:prstGeom prst="rect">
                      <a:avLst/>
                    </a:prstGeom>
                    <a:noFill/>
                  </pic:spPr>
                </pic:pic>
              </a:graphicData>
            </a:graphic>
          </wp:inline>
        </w:drawing>
      </w:r>
    </w:p>
    <w:p w:rsidR="00FC3C50" w:rsidRPr="00FC3C50" w:rsidRDefault="00FC3C50" w:rsidP="00C724A2">
      <w:pPr>
        <w:rPr>
          <w:rFonts w:cs="Arial"/>
          <w:szCs w:val="20"/>
        </w:rPr>
      </w:pPr>
      <w:r w:rsidRPr="00FC3C50">
        <w:rPr>
          <w:rFonts w:cs="Arial"/>
          <w:b/>
          <w:szCs w:val="20"/>
        </w:rPr>
        <w:t>Imagen 4:</w:t>
      </w:r>
      <w:r>
        <w:rPr>
          <w:rFonts w:cs="Arial"/>
          <w:szCs w:val="20"/>
        </w:rPr>
        <w:t xml:space="preserve"> </w:t>
      </w:r>
      <w:r w:rsidRPr="00FC3C50">
        <w:rPr>
          <w:rFonts w:cs="Arial"/>
          <w:szCs w:val="20"/>
        </w:rPr>
        <w:t>Los sistemas de emisiones de gases de escape están formados por componentes complejos, que plantean grandes dificultades para el ensamblaje.</w:t>
      </w:r>
    </w:p>
    <w:p w:rsidR="00C724A2" w:rsidRPr="00C724A2" w:rsidRDefault="00C724A2" w:rsidP="00C724A2">
      <w:pPr>
        <w:rPr>
          <w:rFonts w:cs="Arial"/>
          <w:b/>
          <w:szCs w:val="20"/>
        </w:rPr>
      </w:pPr>
    </w:p>
    <w:p w:rsidR="00C724A2" w:rsidRPr="00C724A2" w:rsidRDefault="00C724A2" w:rsidP="00C724A2">
      <w:pPr>
        <w:rPr>
          <w:rFonts w:cs="Arial"/>
          <w:szCs w:val="20"/>
        </w:rPr>
      </w:pPr>
    </w:p>
    <w:p w:rsidR="00E03C0D" w:rsidRPr="00C724A2" w:rsidRDefault="00E03C0D" w:rsidP="00C724A2">
      <w:pPr>
        <w:rPr>
          <w:rFonts w:cs="Arial"/>
          <w:szCs w:val="20"/>
        </w:rPr>
      </w:pPr>
      <w:r w:rsidRPr="00C724A2">
        <w:rPr>
          <w:rFonts w:cs="Arial"/>
          <w:szCs w:val="20"/>
        </w:rPr>
        <w:t xml:space="preserve">Copyright de las fotografías: </w:t>
      </w: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reproducción sin costo</w:t>
      </w:r>
    </w:p>
    <w:p w:rsidR="00C724A2" w:rsidRDefault="00C724A2" w:rsidP="00C724A2">
      <w:pPr>
        <w:rPr>
          <w:rFonts w:cs="Arial"/>
          <w:szCs w:val="20"/>
        </w:rPr>
      </w:pPr>
    </w:p>
    <w:p w:rsidR="00FC3C50" w:rsidRPr="00C724A2" w:rsidRDefault="00FC3C50" w:rsidP="00C724A2">
      <w:pPr>
        <w:rPr>
          <w:rFonts w:cs="Arial"/>
          <w:szCs w:val="20"/>
        </w:rPr>
      </w:pPr>
    </w:p>
    <w:p w:rsidR="00E03C0D" w:rsidRPr="00C724A2" w:rsidRDefault="00E03C0D" w:rsidP="00C724A2">
      <w:pPr>
        <w:rPr>
          <w:rFonts w:cs="Arial"/>
          <w:szCs w:val="20"/>
        </w:rPr>
      </w:pPr>
      <w:r w:rsidRPr="00C724A2">
        <w:rPr>
          <w:rFonts w:cs="Arial"/>
          <w:szCs w:val="20"/>
        </w:rPr>
        <w:t>Imágenes de alta resolución están disponibles para descargar del siguiente enlace</w:t>
      </w:r>
      <w:r w:rsidR="00463090" w:rsidRPr="00C724A2">
        <w:rPr>
          <w:rFonts w:cs="Arial"/>
          <w:szCs w:val="20"/>
        </w:rPr>
        <w:t>:</w:t>
      </w:r>
    </w:p>
    <w:p w:rsidR="00463090" w:rsidRPr="00C724A2" w:rsidRDefault="00222A20" w:rsidP="00C724A2">
      <w:pPr>
        <w:rPr>
          <w:rFonts w:cs="Arial"/>
          <w:szCs w:val="20"/>
        </w:rPr>
      </w:pPr>
      <w:hyperlink r:id="rId14" w:history="1">
        <w:r w:rsidR="00463090" w:rsidRPr="00C724A2">
          <w:rPr>
            <w:rStyle w:val="Hyperlink"/>
            <w:rFonts w:cs="Arial"/>
            <w:bCs/>
            <w:iCs/>
            <w:snapToGrid w:val="0"/>
            <w:szCs w:val="20"/>
            <w:lang w:val="pt-BR"/>
          </w:rPr>
          <w:t>www.fronius.com/en/welding-technology/infocentre/press</w:t>
        </w:r>
      </w:hyperlink>
    </w:p>
    <w:p w:rsidR="00E03C0D" w:rsidRPr="00C724A2" w:rsidRDefault="00E03C0D" w:rsidP="00C724A2">
      <w:pPr>
        <w:rPr>
          <w:rFonts w:cs="Arial"/>
          <w:b/>
          <w:szCs w:val="20"/>
        </w:rPr>
      </w:pPr>
    </w:p>
    <w:p w:rsidR="00E03C0D" w:rsidRPr="00C724A2" w:rsidRDefault="00E03C0D" w:rsidP="00C724A2">
      <w:pPr>
        <w:rPr>
          <w:rFonts w:cs="Arial"/>
          <w:b/>
          <w:szCs w:val="20"/>
        </w:rPr>
      </w:pPr>
    </w:p>
    <w:p w:rsidR="00E03C0D" w:rsidRPr="00C724A2" w:rsidRDefault="00E03C0D" w:rsidP="00C724A2">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t>
      </w:r>
      <w:proofErr w:type="spellStart"/>
      <w:r w:rsidRPr="00C724A2">
        <w:rPr>
          <w:rFonts w:cs="Arial"/>
          <w:b/>
          <w:szCs w:val="20"/>
        </w:rPr>
        <w:t>Welding</w:t>
      </w:r>
      <w:proofErr w:type="spellEnd"/>
    </w:p>
    <w:p w:rsidR="00E03C0D" w:rsidRPr="00C724A2" w:rsidRDefault="00E03C0D" w:rsidP="00C724A2">
      <w:pPr>
        <w:rPr>
          <w:rFonts w:cs="Arial"/>
          <w:szCs w:val="20"/>
        </w:rPr>
      </w:pP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es el líder en innovación para soldadura por resistencia por puntos y arco voltaico, y es líder en el mercado global para soldadura robótica. Como proveedor de Sistemas.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siempre está cerca de sus clientes. </w:t>
      </w:r>
    </w:p>
    <w:p w:rsidR="00A7476E" w:rsidRPr="00C724A2" w:rsidRDefault="00A7476E" w:rsidP="00C724A2">
      <w:pPr>
        <w:rPr>
          <w:rFonts w:cs="Arial"/>
          <w:b/>
          <w:szCs w:val="20"/>
        </w:rPr>
      </w:pPr>
    </w:p>
    <w:p w:rsidR="00463090" w:rsidRPr="00C724A2" w:rsidRDefault="00463090" w:rsidP="00C724A2">
      <w:pPr>
        <w:rPr>
          <w:rFonts w:cs="Arial"/>
          <w:b/>
          <w:szCs w:val="20"/>
        </w:rPr>
      </w:pPr>
      <w:proofErr w:type="spellStart"/>
      <w:r w:rsidRPr="00C724A2">
        <w:rPr>
          <w:rFonts w:cs="Arial"/>
          <w:b/>
          <w:szCs w:val="20"/>
        </w:rPr>
        <w:t>Fronius</w:t>
      </w:r>
      <w:proofErr w:type="spellEnd"/>
      <w:r w:rsidRPr="00C724A2">
        <w:rPr>
          <w:rFonts w:cs="Arial"/>
          <w:b/>
          <w:szCs w:val="20"/>
        </w:rPr>
        <w:t xml:space="preserve"> International </w:t>
      </w:r>
      <w:proofErr w:type="spellStart"/>
      <w:r w:rsidRPr="00C724A2">
        <w:rPr>
          <w:rFonts w:cs="Arial"/>
          <w:b/>
          <w:szCs w:val="20"/>
        </w:rPr>
        <w:t>GmbH</w:t>
      </w:r>
      <w:proofErr w:type="spellEnd"/>
    </w:p>
    <w:p w:rsidR="00463090" w:rsidRPr="00C724A2" w:rsidRDefault="00463090" w:rsidP="00C724A2">
      <w:pPr>
        <w:rPr>
          <w:rFonts w:cs="Arial"/>
          <w:szCs w:val="20"/>
        </w:rPr>
      </w:pP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xml:space="preserve">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sidR="006F12E1">
        <w:rPr>
          <w:rFonts w:cs="Arial"/>
          <w:szCs w:val="20"/>
        </w:rPr>
        <w:t xml:space="preserve"> </w:t>
      </w:r>
      <w:proofErr w:type="spellStart"/>
      <w:r w:rsidR="006F12E1">
        <w:rPr>
          <w:rFonts w:cs="Arial"/>
          <w:szCs w:val="20"/>
        </w:rPr>
        <w:t>Sattledt</w:t>
      </w:r>
      <w:proofErr w:type="spellEnd"/>
      <w:r w:rsidR="006F12E1">
        <w:rPr>
          <w:rFonts w:cs="Arial"/>
          <w:szCs w:val="20"/>
        </w:rPr>
        <w:t xml:space="preserve">. La empresa con sus </w:t>
      </w:r>
      <w:r w:rsidR="00AB55E8">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sidR="006F12E1">
        <w:rPr>
          <w:rFonts w:cs="Arial"/>
          <w:szCs w:val="20"/>
        </w:rPr>
        <w:t>ción es de aproximadamente el 9</w:t>
      </w:r>
      <w:r w:rsidR="00AB55E8">
        <w:rPr>
          <w:rFonts w:cs="Arial"/>
          <w:szCs w:val="20"/>
        </w:rPr>
        <w:t>2</w:t>
      </w:r>
      <w:r w:rsidRPr="00C724A2">
        <w:rPr>
          <w:rFonts w:cs="Arial"/>
          <w:szCs w:val="20"/>
        </w:rPr>
        <w:t xml:space="preserve"> por ciento y se consigue gracias a las </w:t>
      </w:r>
      <w:r w:rsidR="006F12E1">
        <w:rPr>
          <w:rFonts w:cs="Arial"/>
          <w:szCs w:val="20"/>
        </w:rPr>
        <w:t>30</w:t>
      </w:r>
      <w:r w:rsidRPr="00C724A2">
        <w:rPr>
          <w:rFonts w:cs="Arial"/>
          <w:szCs w:val="20"/>
        </w:rPr>
        <w:t xml:space="preserve"> sociedades internacionales de </w:t>
      </w:r>
      <w:proofErr w:type="spellStart"/>
      <w:r w:rsidRPr="00C724A2">
        <w:rPr>
          <w:rFonts w:cs="Arial"/>
          <w:szCs w:val="20"/>
        </w:rPr>
        <w:t>Fronius</w:t>
      </w:r>
      <w:proofErr w:type="spellEnd"/>
      <w:r w:rsidRPr="00C724A2">
        <w:rPr>
          <w:rFonts w:cs="Arial"/>
          <w:szCs w:val="20"/>
        </w:rPr>
        <w:t xml:space="preserve"> y distribuidores/representantes en más de 60 países. </w:t>
      </w:r>
      <w:proofErr w:type="spellStart"/>
      <w:r w:rsidRPr="00C724A2">
        <w:rPr>
          <w:rFonts w:cs="Arial"/>
          <w:szCs w:val="20"/>
        </w:rPr>
        <w:t>Fronius</w:t>
      </w:r>
      <w:proofErr w:type="spellEnd"/>
      <w:r w:rsidRPr="00C724A2">
        <w:rPr>
          <w:rFonts w:cs="Arial"/>
          <w:szCs w:val="20"/>
        </w:rPr>
        <w:t xml:space="preserve"> es líder en innovación en el mercado mundial gracias a sus productos innovadores y</w:t>
      </w:r>
      <w:r w:rsidR="00AB55E8">
        <w:rPr>
          <w:rFonts w:cs="Arial"/>
          <w:szCs w:val="20"/>
        </w:rPr>
        <w:t xml:space="preserve"> servicios, así como a las 1.253</w:t>
      </w:r>
      <w:r w:rsidRPr="00C724A2">
        <w:rPr>
          <w:rFonts w:cs="Arial"/>
          <w:szCs w:val="20"/>
        </w:rPr>
        <w:t xml:space="preserve"> patentes concedidas.</w:t>
      </w:r>
    </w:p>
    <w:p w:rsidR="00463090" w:rsidRPr="00C724A2" w:rsidRDefault="00463090" w:rsidP="00C724A2">
      <w:pPr>
        <w:pStyle w:val="Textkrper2"/>
        <w:spacing w:after="0" w:line="240" w:lineRule="auto"/>
        <w:ind w:right="-254"/>
        <w:rPr>
          <w:rFonts w:cs="Arial"/>
          <w:szCs w:val="20"/>
        </w:rPr>
      </w:pPr>
    </w:p>
    <w:p w:rsidR="00463090" w:rsidRPr="00C724A2" w:rsidRDefault="00463090" w:rsidP="00C724A2">
      <w:pPr>
        <w:pStyle w:val="Textkrper2"/>
        <w:spacing w:after="0" w:line="240" w:lineRule="auto"/>
        <w:ind w:right="-254"/>
        <w:rPr>
          <w:rFonts w:cs="Arial"/>
          <w:i/>
          <w:iCs/>
          <w:szCs w:val="20"/>
        </w:rPr>
      </w:pPr>
    </w:p>
    <w:p w:rsidR="00113BC1" w:rsidRPr="00B46728" w:rsidRDefault="00113BC1" w:rsidP="00113BC1">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proofErr w:type="spellStart"/>
      <w:r w:rsidRPr="00B46728">
        <w:rPr>
          <w:rFonts w:cs="Arial"/>
          <w:szCs w:val="20"/>
        </w:rPr>
        <w:t>Fronius</w:t>
      </w:r>
      <w:proofErr w:type="spellEnd"/>
      <w:r w:rsidRPr="00B46728">
        <w:rPr>
          <w:rFonts w:cs="Arial"/>
          <w:szCs w:val="20"/>
        </w:rPr>
        <w:t xml:space="preserve"> España S.L.U., Laura González</w:t>
      </w:r>
    </w:p>
    <w:p w:rsidR="00113BC1" w:rsidRPr="00B46728" w:rsidRDefault="00113BC1" w:rsidP="00113BC1">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rsidR="00113BC1" w:rsidRPr="00B46728" w:rsidRDefault="00113BC1" w:rsidP="00113BC1">
      <w:pPr>
        <w:autoSpaceDE w:val="0"/>
        <w:autoSpaceDN w:val="0"/>
        <w:adjustRightInd w:val="0"/>
        <w:rPr>
          <w:rFonts w:cs="Arial"/>
          <w:szCs w:val="20"/>
        </w:rPr>
      </w:pPr>
      <w:r w:rsidRPr="00B46728">
        <w:rPr>
          <w:rFonts w:cs="Arial"/>
          <w:szCs w:val="20"/>
        </w:rPr>
        <w:t>Tel.:+34 (91) 649 60 40; Fax:+34 (91) 649 60 44</w:t>
      </w:r>
    </w:p>
    <w:p w:rsidR="00113BC1" w:rsidRPr="00B46728" w:rsidRDefault="00113BC1" w:rsidP="00113BC1">
      <w:pPr>
        <w:autoSpaceDE w:val="0"/>
        <w:autoSpaceDN w:val="0"/>
        <w:adjustRightInd w:val="0"/>
        <w:rPr>
          <w:rFonts w:cs="Arial"/>
          <w:szCs w:val="20"/>
        </w:rPr>
      </w:pPr>
      <w:r w:rsidRPr="00B46728">
        <w:rPr>
          <w:rFonts w:cs="Arial"/>
          <w:szCs w:val="20"/>
        </w:rPr>
        <w:t xml:space="preserve">Correo electrónico: </w:t>
      </w:r>
      <w:hyperlink r:id="rId15" w:history="1">
        <w:r w:rsidRPr="00B46728">
          <w:rPr>
            <w:rStyle w:val="Hyperlink"/>
            <w:rFonts w:cs="Arial"/>
            <w:szCs w:val="20"/>
          </w:rPr>
          <w:t>gonzalez.laura@fronius.com</w:t>
        </w:r>
      </w:hyperlink>
    </w:p>
    <w:p w:rsidR="00851B46" w:rsidRPr="00B46728" w:rsidRDefault="00851B46" w:rsidP="00851B46">
      <w:pPr>
        <w:autoSpaceDE w:val="0"/>
        <w:autoSpaceDN w:val="0"/>
        <w:adjustRightInd w:val="0"/>
        <w:rPr>
          <w:rFonts w:cs="Arial"/>
          <w:color w:val="000000"/>
          <w:szCs w:val="20"/>
        </w:rPr>
      </w:pPr>
      <w:bookmarkStart w:id="0" w:name="_GoBack"/>
      <w:bookmarkEnd w:id="0"/>
    </w:p>
    <w:p w:rsidR="00851B46" w:rsidRPr="00B46728" w:rsidRDefault="00851B46" w:rsidP="00851B46">
      <w:pPr>
        <w:pStyle w:val="Textkrper2"/>
        <w:spacing w:after="0" w:line="240" w:lineRule="auto"/>
        <w:ind w:right="29"/>
        <w:rPr>
          <w:rFonts w:cs="Arial"/>
          <w:b/>
          <w:szCs w:val="20"/>
        </w:rPr>
      </w:pPr>
      <w:r w:rsidRPr="00B46728">
        <w:rPr>
          <w:rFonts w:cs="Arial"/>
          <w:b/>
          <w:szCs w:val="20"/>
        </w:rPr>
        <w:lastRenderedPageBreak/>
        <w:t>Por favor, envíe un ejemplar de prueba a nuestra agencia:</w:t>
      </w:r>
    </w:p>
    <w:p w:rsidR="00851B46" w:rsidRPr="00B46728" w:rsidRDefault="00851B46" w:rsidP="00851B46">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rsidR="00851B46" w:rsidRPr="00B46728" w:rsidRDefault="00851B46" w:rsidP="00851B46">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rsidR="00851B46" w:rsidRPr="00B46728" w:rsidRDefault="00851B46" w:rsidP="00851B46">
      <w:pPr>
        <w:rPr>
          <w:rFonts w:cs="Arial"/>
          <w:szCs w:val="20"/>
        </w:rPr>
      </w:pPr>
      <w:r w:rsidRPr="00B46728">
        <w:rPr>
          <w:rFonts w:cs="Arial"/>
          <w:szCs w:val="20"/>
        </w:rPr>
        <w:t xml:space="preserve">tel.: +49 (0)711 9454161-20, correo electrónico: </w:t>
      </w:r>
      <w:hyperlink r:id="rId16">
        <w:r w:rsidRPr="00B46728">
          <w:rPr>
            <w:rStyle w:val="Hyperlink"/>
            <w:rFonts w:cs="Arial"/>
            <w:szCs w:val="20"/>
          </w:rPr>
          <w:t>Kirsten.Ludwig@a1kommunikation.de</w:t>
        </w:r>
      </w:hyperlink>
    </w:p>
    <w:p w:rsidR="00851B46" w:rsidRPr="00B46728" w:rsidRDefault="00851B46" w:rsidP="00851B46">
      <w:pPr>
        <w:rPr>
          <w:rFonts w:cs="Arial"/>
        </w:rPr>
      </w:pPr>
    </w:p>
    <w:p w:rsidR="00E03C0D" w:rsidRDefault="00E03C0D" w:rsidP="00851B46">
      <w:pPr>
        <w:autoSpaceDE w:val="0"/>
        <w:autoSpaceDN w:val="0"/>
        <w:adjustRightInd w:val="0"/>
        <w:rPr>
          <w:rFonts w:cs="Arial"/>
          <w:szCs w:val="20"/>
        </w:rPr>
      </w:pPr>
    </w:p>
    <w:p w:rsidR="009E41CA" w:rsidRPr="00C724A2" w:rsidRDefault="009E41CA" w:rsidP="00851B46">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w:t>
      </w:r>
      <w:proofErr w:type="spellStart"/>
      <w:r w:rsidRPr="009E41CA">
        <w:rPr>
          <w:rFonts w:cs="Arial"/>
          <w:szCs w:val="20"/>
        </w:rPr>
        <w:t>froniuswelding</w:t>
      </w:r>
      <w:proofErr w:type="spellEnd"/>
      <w:r w:rsidRPr="009E41CA">
        <w:rPr>
          <w:rFonts w:cs="Arial"/>
          <w:szCs w:val="20"/>
        </w:rPr>
        <w:t>), Twitter (</w:t>
      </w:r>
      <w:proofErr w:type="spellStart"/>
      <w:r w:rsidRPr="009E41CA">
        <w:rPr>
          <w:rFonts w:cs="Arial"/>
          <w:szCs w:val="20"/>
        </w:rPr>
        <w:t>froniusintweld</w:t>
      </w:r>
      <w:proofErr w:type="spellEnd"/>
      <w:r w:rsidRPr="009E41CA">
        <w:rPr>
          <w:rFonts w:cs="Arial"/>
          <w:szCs w:val="20"/>
        </w:rPr>
        <w:t>), LinkedIn (</w:t>
      </w:r>
      <w:proofErr w:type="spellStart"/>
      <w:r w:rsidRPr="009E41CA">
        <w:rPr>
          <w:rFonts w:cs="Arial"/>
          <w:szCs w:val="20"/>
        </w:rPr>
        <w:t>perfect-welding</w:t>
      </w:r>
      <w:proofErr w:type="spellEnd"/>
      <w:r w:rsidRPr="009E41CA">
        <w:rPr>
          <w:rFonts w:cs="Arial"/>
          <w:szCs w:val="20"/>
        </w:rPr>
        <w:t>), Instagram (</w:t>
      </w:r>
      <w:proofErr w:type="spellStart"/>
      <w:r w:rsidRPr="009E41CA">
        <w:rPr>
          <w:rFonts w:cs="Arial"/>
          <w:szCs w:val="20"/>
        </w:rPr>
        <w:t>froniuswelding</w:t>
      </w:r>
      <w:proofErr w:type="spellEnd"/>
      <w:r w:rsidRPr="009E41CA">
        <w:rPr>
          <w:rFonts w:cs="Arial"/>
          <w:szCs w:val="20"/>
        </w:rPr>
        <w:t>) y YouTube (</w:t>
      </w:r>
      <w:proofErr w:type="spellStart"/>
      <w:r w:rsidRPr="009E41CA">
        <w:rPr>
          <w:rFonts w:cs="Arial"/>
          <w:szCs w:val="20"/>
        </w:rPr>
        <w:t>froniuswelding</w:t>
      </w:r>
      <w:proofErr w:type="spellEnd"/>
      <w:r w:rsidRPr="009E41CA">
        <w:rPr>
          <w:rFonts w:cs="Arial"/>
          <w:szCs w:val="20"/>
        </w:rPr>
        <w:t>)!</w:t>
      </w:r>
    </w:p>
    <w:sectPr w:rsidR="009E41CA" w:rsidRPr="00C724A2" w:rsidSect="00E03C0D">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20" w:rsidRDefault="00222A20" w:rsidP="00E03C0D">
      <w:r>
        <w:separator/>
      </w:r>
    </w:p>
  </w:endnote>
  <w:endnote w:type="continuationSeparator" w:id="0">
    <w:p w:rsidR="00222A20" w:rsidRDefault="00222A20" w:rsidP="00E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0D" w:rsidRPr="00E533E1" w:rsidRDefault="00E03C0D" w:rsidP="00E03C0D">
    <w:pPr>
      <w:tabs>
        <w:tab w:val="right" w:pos="10080"/>
      </w:tabs>
      <w:rPr>
        <w:sz w:val="16"/>
        <w:szCs w:val="16"/>
      </w:rPr>
    </w:pPr>
    <w:r>
      <w:rPr>
        <w:sz w:val="12"/>
      </w:rPr>
      <w:t>02/2018</w:t>
    </w:r>
    <w:r>
      <w:rPr>
        <w:sz w:val="16"/>
      </w:rPr>
      <w:tab/>
    </w:r>
    <w:r>
      <w:rPr>
        <w:sz w:val="16"/>
      </w:rPr>
      <w:fldChar w:fldCharType="begin"/>
    </w:r>
    <w:r>
      <w:rPr>
        <w:sz w:val="16"/>
      </w:rPr>
      <w:instrText xml:space="preserve"> PAGE </w:instrText>
    </w:r>
    <w:r>
      <w:rPr>
        <w:sz w:val="16"/>
      </w:rPr>
      <w:fldChar w:fldCharType="separate"/>
    </w:r>
    <w:r w:rsidR="008F16C5">
      <w:rPr>
        <w:noProof/>
        <w:sz w:val="16"/>
      </w:rPr>
      <w:t>4</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8F16C5">
      <w:rPr>
        <w:noProof/>
        <w:sz w:val="16"/>
      </w:rPr>
      <w:t>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20" w:rsidRDefault="00222A20" w:rsidP="00E03C0D">
      <w:r>
        <w:separator/>
      </w:r>
    </w:p>
  </w:footnote>
  <w:footnote w:type="continuationSeparator" w:id="0">
    <w:p w:rsidR="00222A20" w:rsidRDefault="00222A20" w:rsidP="00E0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0D" w:rsidRDefault="0074050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100C17E4">
      <w:start w:val="1"/>
      <w:numFmt w:val="bullet"/>
      <w:lvlText w:val=""/>
      <w:lvlJc w:val="left"/>
      <w:pPr>
        <w:ind w:left="720" w:hanging="360"/>
      </w:pPr>
      <w:rPr>
        <w:rFonts w:ascii="Symbol" w:hAnsi="Symbol" w:hint="default"/>
      </w:rPr>
    </w:lvl>
    <w:lvl w:ilvl="1" w:tplc="F79E0FA2" w:tentative="1">
      <w:start w:val="1"/>
      <w:numFmt w:val="bullet"/>
      <w:lvlText w:val="o"/>
      <w:lvlJc w:val="left"/>
      <w:pPr>
        <w:ind w:left="1440" w:hanging="360"/>
      </w:pPr>
      <w:rPr>
        <w:rFonts w:ascii="Courier New" w:hAnsi="Courier New" w:cs="Courier New" w:hint="default"/>
      </w:rPr>
    </w:lvl>
    <w:lvl w:ilvl="2" w:tplc="26B2068C" w:tentative="1">
      <w:start w:val="1"/>
      <w:numFmt w:val="bullet"/>
      <w:lvlText w:val=""/>
      <w:lvlJc w:val="left"/>
      <w:pPr>
        <w:ind w:left="2160" w:hanging="360"/>
      </w:pPr>
      <w:rPr>
        <w:rFonts w:ascii="Wingdings" w:hAnsi="Wingdings" w:hint="default"/>
      </w:rPr>
    </w:lvl>
    <w:lvl w:ilvl="3" w:tplc="8F982730" w:tentative="1">
      <w:start w:val="1"/>
      <w:numFmt w:val="bullet"/>
      <w:lvlText w:val=""/>
      <w:lvlJc w:val="left"/>
      <w:pPr>
        <w:ind w:left="2880" w:hanging="360"/>
      </w:pPr>
      <w:rPr>
        <w:rFonts w:ascii="Symbol" w:hAnsi="Symbol" w:hint="default"/>
      </w:rPr>
    </w:lvl>
    <w:lvl w:ilvl="4" w:tplc="D08042C0" w:tentative="1">
      <w:start w:val="1"/>
      <w:numFmt w:val="bullet"/>
      <w:lvlText w:val="o"/>
      <w:lvlJc w:val="left"/>
      <w:pPr>
        <w:ind w:left="3600" w:hanging="360"/>
      </w:pPr>
      <w:rPr>
        <w:rFonts w:ascii="Courier New" w:hAnsi="Courier New" w:cs="Courier New" w:hint="default"/>
      </w:rPr>
    </w:lvl>
    <w:lvl w:ilvl="5" w:tplc="4B14B2D8" w:tentative="1">
      <w:start w:val="1"/>
      <w:numFmt w:val="bullet"/>
      <w:lvlText w:val=""/>
      <w:lvlJc w:val="left"/>
      <w:pPr>
        <w:ind w:left="4320" w:hanging="360"/>
      </w:pPr>
      <w:rPr>
        <w:rFonts w:ascii="Wingdings" w:hAnsi="Wingdings" w:hint="default"/>
      </w:rPr>
    </w:lvl>
    <w:lvl w:ilvl="6" w:tplc="9A96DCC4" w:tentative="1">
      <w:start w:val="1"/>
      <w:numFmt w:val="bullet"/>
      <w:lvlText w:val=""/>
      <w:lvlJc w:val="left"/>
      <w:pPr>
        <w:ind w:left="5040" w:hanging="360"/>
      </w:pPr>
      <w:rPr>
        <w:rFonts w:ascii="Symbol" w:hAnsi="Symbol" w:hint="default"/>
      </w:rPr>
    </w:lvl>
    <w:lvl w:ilvl="7" w:tplc="DA02300E" w:tentative="1">
      <w:start w:val="1"/>
      <w:numFmt w:val="bullet"/>
      <w:lvlText w:val="o"/>
      <w:lvlJc w:val="left"/>
      <w:pPr>
        <w:ind w:left="5760" w:hanging="360"/>
      </w:pPr>
      <w:rPr>
        <w:rFonts w:ascii="Courier New" w:hAnsi="Courier New" w:cs="Courier New" w:hint="default"/>
      </w:rPr>
    </w:lvl>
    <w:lvl w:ilvl="8" w:tplc="D382CDD6"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113BC1"/>
    <w:rsid w:val="001B23AC"/>
    <w:rsid w:val="001D223D"/>
    <w:rsid w:val="00222A20"/>
    <w:rsid w:val="00260AD5"/>
    <w:rsid w:val="00281041"/>
    <w:rsid w:val="00463090"/>
    <w:rsid w:val="00586249"/>
    <w:rsid w:val="005A34DF"/>
    <w:rsid w:val="00615766"/>
    <w:rsid w:val="006C3D9E"/>
    <w:rsid w:val="006F12E1"/>
    <w:rsid w:val="007054E2"/>
    <w:rsid w:val="0074050F"/>
    <w:rsid w:val="00851B46"/>
    <w:rsid w:val="008B75F5"/>
    <w:rsid w:val="008F16C5"/>
    <w:rsid w:val="00900436"/>
    <w:rsid w:val="009E41CA"/>
    <w:rsid w:val="00A7476E"/>
    <w:rsid w:val="00AB55E8"/>
    <w:rsid w:val="00C724A2"/>
    <w:rsid w:val="00CF4A3B"/>
    <w:rsid w:val="00E03C0D"/>
    <w:rsid w:val="00EE574C"/>
    <w:rsid w:val="00FC3C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58BB30-2A3B-4E74-AD67-3B56074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s-MX" w:eastAsia="es-MX"/>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MX" w:eastAsia="es-MX"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MX" w:eastAsia="es-MX" w:bidi="ar-SA"/>
    </w:rPr>
  </w:style>
  <w:style w:type="character" w:styleId="Hyperlink">
    <w:name w:val="Hyperlink"/>
    <w:uiPriority w:val="99"/>
    <w:rsid w:val="007054E2"/>
    <w:rPr>
      <w:color w:val="0000FF"/>
      <w:u w:val="single"/>
      <w:lang w:val="es-MX" w:eastAsia="es-MX"/>
    </w:rPr>
  </w:style>
  <w:style w:type="paragraph" w:styleId="Textkrper">
    <w:name w:val="Body Text"/>
    <w:basedOn w:val="Standard"/>
    <w:link w:val="TextkrperZchn"/>
    <w:unhideWhenUsed/>
    <w:rsid w:val="007054E2"/>
    <w:rPr>
      <w:rFonts w:ascii="Courier New" w:eastAsia="Times New Roman" w:hAnsi="Courier New"/>
      <w:sz w:val="24"/>
      <w:szCs w:val="20"/>
    </w:rPr>
  </w:style>
  <w:style w:type="character" w:customStyle="1" w:styleId="TextkrperZchn">
    <w:name w:val="Textkörper Zchn"/>
    <w:link w:val="Textkrper"/>
    <w:rsid w:val="007054E2"/>
    <w:rPr>
      <w:rFonts w:ascii="Courier New" w:eastAsia="Times New Roman" w:hAnsi="Courier New"/>
      <w:sz w:val="24"/>
      <w:lang w:val="es-MX" w:eastAsia="es-MX"/>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val="es-MX" w:eastAsia="es-MX"/>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MX" w:eastAsia="es-MX"/>
    </w:rPr>
  </w:style>
  <w:style w:type="character" w:styleId="Fett">
    <w:name w:val="Strong"/>
    <w:qFormat/>
    <w:rsid w:val="00FF591F"/>
    <w:rPr>
      <w:b/>
      <w:bCs/>
      <w:lang w:val="es-MX" w:eastAsia="es-MX"/>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val="es-MX" w:eastAsia="es-MX"/>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val="es-MX" w:eastAsia="es-MX"/>
    </w:rPr>
  </w:style>
  <w:style w:type="character" w:styleId="Funotenzeichen">
    <w:name w:val="footnote reference"/>
    <w:rsid w:val="00BA67A4"/>
    <w:rPr>
      <w:vertAlign w:val="superscript"/>
      <w:lang w:val="es-MX" w:eastAsia="es-MX"/>
    </w:rPr>
  </w:style>
  <w:style w:type="character" w:customStyle="1" w:styleId="BesuchterLink">
    <w:name w:val="BesuchterLink"/>
    <w:rsid w:val="00EE5573"/>
    <w:rPr>
      <w:color w:val="800080"/>
      <w:u w:val="single"/>
      <w:lang w:val="es-MX" w:eastAsia="es-MX"/>
    </w:rPr>
  </w:style>
  <w:style w:type="character" w:styleId="Kommentarzeichen">
    <w:name w:val="annotation reference"/>
    <w:uiPriority w:val="99"/>
    <w:rsid w:val="007F4338"/>
    <w:rPr>
      <w:sz w:val="16"/>
      <w:szCs w:val="16"/>
      <w:lang w:val="es-MX" w:eastAsia="es-MX"/>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val="es-MX" w:eastAsia="es-MX"/>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val="es-MX" w:eastAsia="es-MX"/>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val="es-MX" w:eastAsia="es-MX"/>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gonzalez.laura@fronius.com" TargetMode="Externa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Műszaki cikkek</Documenttype_HU>
    <Documenttype_SK xmlns="dc0c2c3d-e9fc-4a0d-820b-87ab82e65f20">Technický článok</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Abgaskomponenten - 2019 ES</title_TI_DE>
    <Documenttype_PT xmlns="dc0c2c3d-e9fc-4a0d-820b-87ab82e65f20">Artigo técnico</Documenttype_PT>
    <Documenttype_RU xmlns="dc0c2c3d-e9fc-4a0d-820b-87ab82e65f20">Техническая статья</Documenttype_RU>
    <title_TI_TR xmlns="dc0c2c3d-e9fc-4a0d-820b-87ab82e65f20">Exhaust Components - 2019</title_TI_TR>
    <title_TI_NO xmlns="dc0c2c3d-e9fc-4a0d-820b-87ab82e65f20">Exhaust Components - 2019</title_TI_NO>
    <icfaae38c4274413b390559439863f3e xmlns="dc0c2c3d-e9fc-4a0d-820b-87ab82e65f20">
      <Terms xmlns="http://schemas.microsoft.com/office/infopath/2007/PartnerControls"/>
    </icfaae38c4274413b390559439863f3e>
    <Documenttype_CS xmlns="dc0c2c3d-e9fc-4a0d-820b-87ab82e65f20">Technický článek</Documenttype_CS>
    <title_TI_TH xmlns="dc0c2c3d-e9fc-4a0d-820b-87ab82e65f20">Exhaust Components - 2019</title_TI_TH>
    <Documenttype_AR xmlns="dc0c2c3d-e9fc-4a0d-820b-87ab82e65f20">Technical Article</Documenttype_AR>
    <Licence_x0020_information xmlns="dc0c2c3d-e9fc-4a0d-820b-87ab82e65f20">(c) Fronius International</Licence_x0020_information>
    <title_TI_EA xmlns="dc0c2c3d-e9fc-4a0d-820b-87ab82e65f20">Exhaust Components - 2019</title_TI_EA>
    <_dlc_DocId xmlns="92f60987-cbcc-4245-baaf-239af3bfd6e8">3457UUQQYVA2-1576582820-9903</_dlc_DocId>
    <TitelInternal xmlns="dc0c2c3d-e9fc-4a0d-820b-87ab82e65f20">PW_TEA_Exhaust_Components_ESes</TitelInternal>
    <Documenttype_NO xmlns="dc0c2c3d-e9fc-4a0d-820b-87ab82e65f20">Teknisk artikkel</Documenttype_NO>
    <Documenttype_DE xmlns="dc0c2c3d-e9fc-4a0d-820b-87ab82e65f20">Technischer Artikel</Documenttype_DE>
    <title_TI_DA xmlns="dc0c2c3d-e9fc-4a0d-820b-87ab82e65f20">Exhaust Components - 2019</title_TI_DA>
    <Documenttype_TR xmlns="dc0c2c3d-e9fc-4a0d-820b-87ab82e65f20">Teknik madde</Documenttype_TR>
    <title_TI_PL xmlns="dc0c2c3d-e9fc-4a0d-820b-87ab82e65f20">Exhaust Components - 2019</title_TI_PL>
    <Documenttype_TH xmlns="dc0c2c3d-e9fc-4a0d-820b-87ab82e65f20">บทความด้านเทคนิค</Documenttype_TH>
    <title_TI_EL xmlns="dc0c2c3d-e9fc-4a0d-820b-87ab82e65f20">Exhaust Components - 2019</title_TI_EL>
    <Documenttype_EA xmlns="dc0c2c3d-e9fc-4a0d-820b-87ab82e65f20">Technical Article</Documenttype_EA>
    <Web_x0020_Display_x0020_Title_x0020_ET xmlns="dc0c2c3d-e9fc-4a0d-820b-87ab82e65f20">Exhaust Components - 2019</Web_x0020_Display_x0020_Title_x0020_ET>
    <Resolution xmlns="dc0c2c3d-e9fc-4a0d-820b-87ab82e65f20" xsi:nil="true"/>
    <Division xmlns="dc0c2c3d-e9fc-4a0d-820b-87ab82e65f20">Perfect Welding</Division>
    <Documenttype_JA xmlns="dc0c2c3d-e9fc-4a0d-820b-87ab82e65f20">技術記事</Documenttype_JA>
    <title_TI_CS xmlns="dc0c2c3d-e9fc-4a0d-820b-87ab82e65f20">Exhaust Components - 2019</title_TI_CS>
    <title_TI_AR xmlns="dc0c2c3d-e9fc-4a0d-820b-87ab82e65f20">Exhaust Components - 2019</title_TI_AR>
    <Colour_x0020_space xmlns="dc0c2c3d-e9fc-4a0d-820b-87ab82e65f20" xsi:nil="true"/>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Exhaust Components - 2019</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Exhaust Components - 2019</title_TI_SV>
    <Documenttype_PL xmlns="dc0c2c3d-e9fc-4a0d-820b-87ab82e65f20">Artykuł techniczny</Documenttype_PL>
    <VersionInternal xmlns="dc0c2c3d-e9fc-4a0d-820b-87ab82e65f20">0</VersionInternal>
    <Update xmlns="dc0c2c3d-e9fc-4a0d-820b-87ab82e65f20">150620</Update>
    <title_TI_NL xmlns="dc0c2c3d-e9fc-4a0d-820b-87ab82e65f20">Exhaust Components - 2019</title_TI_NL>
    <_dlc_DocIdUrl xmlns="92f60987-cbcc-4245-baaf-239af3bfd6e8">
      <Url>https://downloads.fronius.com/_layouts/15/DocIdRedir.aspx?ID=3457UUQQYVA2-1576582820-9903</Url>
      <Description>3457UUQQYVA2-1576582820-9903</Description>
    </_dlc_DocIdUrl>
    <FileMaster xmlns="dc0c2c3d-e9fc-4a0d-820b-87ab82e65f20">M-130334</FileMaster>
    <FSM xmlns="dc0c2c3d-e9fc-4a0d-820b-87ab82e65f20">false</FSM>
    <title_TI_IT xmlns="dc0c2c3d-e9fc-4a0d-820b-87ab82e65f20">Exhaust Components - 2019</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Exhaust Components - 2019</title_TI_UA>
    <title_TI_JP xmlns="dc0c2c3d-e9fc-4a0d-820b-87ab82e65f20">Exhaust Components - 2019</title_TI_JP>
    <Documenttype_NL xmlns="dc0c2c3d-e9fc-4a0d-820b-87ab82e65f20">Technisch artikel</Documenttype_NL>
    <Documenttype_NB xmlns="dc0c2c3d-e9fc-4a0d-820b-87ab82e65f20">Teknisk artikkel</Documenttype_NB>
    <title_ti_nb xmlns="dc0c2c3d-e9fc-4a0d-820b-87ab82e65f20">Exhaust Components - 2019</title_ti_nb>
    <title_TI_ES xmlns="dc0c2c3d-e9fc-4a0d-820b-87ab82e65f20">Exhaust Components - 2019</title_TI_ES>
    <title_TI_JA xmlns="dc0c2c3d-e9fc-4a0d-820b-87ab82e65f20">Exhaust Components - 2019</title_TI_JA>
    <Documenttype_IT xmlns="dc0c2c3d-e9fc-4a0d-820b-87ab82e65f20">Articolo tecnico</Documenttype_IT>
    <TaxCatchAll xmlns="92f60987-cbcc-4245-baaf-239af3bfd6e8">
      <Value>259</Value>
    </TaxCatchAll>
    <AGB xmlns="dc0c2c3d-e9fc-4a0d-820b-87ab82e65f20">false</AGB>
    <title_TI_EN xmlns="dc0c2c3d-e9fc-4a0d-820b-87ab82e65f20">Exhaust Components - 2019</title_TI_EN>
    <Documenttype_ZH xmlns="dc0c2c3d-e9fc-4a0d-820b-87ab82e65f20">Technical Article</Documenttype_ZH>
    <MRMKeyWords xmlns="dc0c2c3d-e9fc-4a0d-820b-87ab82e65f20">#schweißen#welding#perfect welding#fachartikel#technical article#perfectwelding#technicalarticle#abgassysteme</MRMKeyWords>
    <title_ti_zh xmlns="dc0c2c3d-e9fc-4a0d-820b-87ab82e65f20">Exhaust Components - 2019</title_ti_zh>
    <MRMID xmlns="dc0c2c3d-e9fc-4a0d-820b-87ab82e65f20">M-130350</MRMID>
    <Documenttype_UK xmlns="dc0c2c3d-e9fc-4a0d-820b-87ab82e65f20">Технічна стаття</Documenttype_UK>
    <title_TI_SK xmlns="dc0c2c3d-e9fc-4a0d-820b-87ab82e65f20">Exhaust Components - 2019</title_TI_SK>
    <Documenttype_UA xmlns="dc0c2c3d-e9fc-4a0d-820b-87ab82e65f20">Технічна стаття</Documenttype_UA>
    <title_TI_HU xmlns="dc0c2c3d-e9fc-4a0d-820b-87ab82e65f20">Exhaust Components - 2019</title_TI_HU>
    <Country_x0020_Quick_x0020_Select xmlns="dc0c2c3d-e9fc-4a0d-820b-87ab82e65f20">Select...</Country_x0020_Quick_x0020_Select>
    <title_ti_uk xmlns="dc0c2c3d-e9fc-4a0d-820b-87ab82e65f20">Exhaust Components - 2019</title_ti_uk>
    <title_TI_PT xmlns="dc0c2c3d-e9fc-4a0d-820b-87ab82e65f20">Exhaust Components - 2019</title_TI_PT>
    <Country xmlns="dc0c2c3d-e9fc-4a0d-820b-87ab82e65f20">
      <Value>38</Value>
      <Value>38</Value>
    </Country>
    <title_TI_RU xmlns="dc0c2c3d-e9fc-4a0d-820b-87ab82e65f20">Exhaust Components - 2019</title_TI_RU>
    <fro_spid xmlns="dc0c2c3d-e9fc-4a0d-820b-87ab82e65f20">9903;PW</fro_spid>
    <title_ti_fi xmlns="dc0c2c3d-e9fc-4a0d-820b-87ab82e65f20">Exhaust Components - 2019</title_ti_fi>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EA625040-C0CC-4F11-BC00-3C78081CE8D6}">
  <ds:schemaRefs>
    <ds:schemaRef ds:uri="http://schemas.openxmlformats.org/officeDocument/2006/bibliography"/>
  </ds:schemaRefs>
</ds:datastoreItem>
</file>

<file path=customXml/itemProps2.xml><?xml version="1.0" encoding="utf-8"?>
<ds:datastoreItem xmlns:ds="http://schemas.openxmlformats.org/officeDocument/2006/customXml" ds:itemID="{79C4F523-1621-41D9-A215-782FBE9826B0}"/>
</file>

<file path=customXml/itemProps3.xml><?xml version="1.0" encoding="utf-8"?>
<ds:datastoreItem xmlns:ds="http://schemas.openxmlformats.org/officeDocument/2006/customXml" ds:itemID="{FACA4B80-73A8-449A-B9B5-662504E8ACAA}"/>
</file>

<file path=customXml/itemProps4.xml><?xml version="1.0" encoding="utf-8"?>
<ds:datastoreItem xmlns:ds="http://schemas.openxmlformats.org/officeDocument/2006/customXml" ds:itemID="{9A00B227-A3F5-43F8-9207-CBF657F06A63}"/>
</file>

<file path=customXml/itemProps5.xml><?xml version="1.0" encoding="utf-8"?>
<ds:datastoreItem xmlns:ds="http://schemas.openxmlformats.org/officeDocument/2006/customXml" ds:itemID="{E3187EF6-E4FA-4214-B925-DDE30D37D1E1}"/>
</file>

<file path=customXml/itemProps6.xml><?xml version="1.0" encoding="utf-8"?>
<ds:datastoreItem xmlns:ds="http://schemas.openxmlformats.org/officeDocument/2006/customXml" ds:itemID="{A26A9ED8-5510-49BF-A77C-E2225C3D9195}"/>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1228</Words>
  <Characters>7741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8952</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3801153</vt:i4>
      </vt:variant>
      <vt:variant>
        <vt:i4>3</vt:i4>
      </vt:variant>
      <vt:variant>
        <vt:i4>0</vt:i4>
      </vt:variant>
      <vt:variant>
        <vt:i4>5</vt:i4>
      </vt:variant>
      <vt:variant>
        <vt:lpwstr>mailto:gonzalez.laura@fronius.com</vt:lpwstr>
      </vt:variant>
      <vt:variant>
        <vt:lpwstr/>
      </vt:variant>
      <vt:variant>
        <vt:i4>1310737</vt:i4>
      </vt:variant>
      <vt:variant>
        <vt:i4>0</vt:i4>
      </vt:variant>
      <vt:variant>
        <vt:i4>0</vt:i4>
      </vt:variant>
      <vt:variant>
        <vt:i4>5</vt:i4>
      </vt:variant>
      <vt:variant>
        <vt:lpwstr>http://www.fronius.com/en/welding-technology/infocentre/press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PW_TEA_Exhaust_Components_ESes</dc:title>
  <dc:subject/>
  <dc:creator>Demirok Fidan</dc:creator>
  <cp:keywords/>
  <cp:lastModifiedBy>Stiglhuber Carolina</cp:lastModifiedBy>
  <cp:revision>4</cp:revision>
  <cp:lastPrinted>2016-07-21T12:13:00Z</cp:lastPrinted>
  <dcterms:created xsi:type="dcterms:W3CDTF">2019-07-26T08:06:00Z</dcterms:created>
  <dcterms:modified xsi:type="dcterms:W3CDTF">2019-07-26T09:18:00Z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5,64;beb323fc-0212-4837-8558-f431e1d953f5,68;beb323fc-0212-4837-8558-f431e1d953f5,73;f23899af-90e5-4213-b122-4e07c0f837c2,77;f23899af-90e5-4213-b122-4e07c0f837c2,81;f23899af-90e5-4213-b122-4e07c0f837c2,84;f23899af-90e5-4213-b122-4e07c0f837c2,87;f23899af-90e5-4213-b122-4e07c0f837c2,90;f23899af-90e5-4213-b122-4e07c0f837c2,94;f23899af-90e5-4213-b122-4e07c0f837c2,97;f23899af-90e5-4213-b122-4e07c0f837c2,100;f23899af-90e5-4213-b122-4e07c0f837c2,103;f23899af-90e5-4213-b122-4e07c0f837c2,107;f23899af-90e5-4213-b122-4e07c0f837c2,110;f23899af-90e5-4213-b122-4e07c0f837c2,113;f23899af-90e5-4213-b122-4e07c0f837c2,116;f23899af-90e5-4213-b122-4e07c0f837c2,119;f23899af-90e5-4213-b122-4e07c0f837c2,122;f23899af-90e5-4213-b122-4e07c0f837c2,126;f23899af-90e5-4213-b122-4e07c0f837c2,130;f23899af-90e5-4213-b122-4e07c0f837c2,133;f23899af-90e5-4213-b122-4e07c0f837c2,136;f23899af-90e5-4213-b122-4e07c0f837c2,140;f23899af-90e5-4213-b122-4e07c0f837c2,144;f23899af-90e5-4213-b122-4e07c0f837c2,147;f23899af-90e5-4213-b122-4e07c0f837c2,150;f23899af-90e5-4213-b122-4e07c0f837c2,153;f23899af-90e5-4213-b122-4e07c0f837c2,156;f23899af-90e5-4213-b122-4e07c0f837c2,159;f23899af-90e5-4213-b122-4e07c0f837c2,163;f23899af-90e5-4213-b122-4e07c0f837c2,166;f23899af-90e5-4213-b122-4e07c0f837c2,169;f23899af-90e5-4213-b122-4e07c0f837c2,173;f23899af-90e5-4213-b122-4e07c0f837c2,177;f23899af-90e5-4213-b122-4e07c0f837c2,180;f23899af-90e5-4213-b122-4e07c0f837c2,183;a8dd0ddf-bfd4-44dd-a6bb-0c3c9675194c,186;a8dd0ddf-bfd4-44dd-a6bb-0c3c9675194c,186;6d1b5151-d866-4942-aea1-17c7cb28edce,211;6d1b5151-d866-4942-aea1-17c7cb28edce,215;84063e84-3b90-4264-9d91-20c80f9713f8,265;84063e84-3b90-4264-9d91-20c80f9713f8,265;84063e84-3b90-4264-9d91-20c80f9713f8,269;84063e84-3b90-4264-9d91-20c80f9713f8,282;</vt:lpwstr>
  </property>
  <property fmtid="{D5CDD505-2E9C-101B-9397-08002B2CF9AE}" pid="10" name="Web Display Title SV">
    <vt:lpwstr>Exhaust Components - 2019</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FroConDoc_language">
    <vt:lpwstr/>
  </property>
  <property fmtid="{D5CDD505-2E9C-101B-9397-08002B2CF9AE}" pid="14" name="DisableEventReceiver">
    <vt:bool>false</vt:bool>
  </property>
  <property fmtid="{D5CDD505-2E9C-101B-9397-08002B2CF9AE}" pid="15" name="_dlc_DocIdItemGuid">
    <vt:lpwstr>f3faf80c-f38e-4e9a-b1d7-9906feb0c597</vt:lpwstr>
  </property>
</Properties>
</file>